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2BB9" w14:textId="77777777" w:rsidR="009F328B" w:rsidRDefault="00000000">
      <w:pPr>
        <w:pStyle w:val="Title"/>
      </w:pPr>
      <w:r>
        <w:t>The Preview, and the Pull Before the Event</w:t>
      </w:r>
    </w:p>
    <w:p w14:paraId="3F7E46CD" w14:textId="77777777" w:rsidR="009F328B" w:rsidRDefault="00000000">
      <w:pPr>
        <w:spacing w:after="80"/>
      </w:pPr>
      <w:r>
        <w:rPr>
          <w:i/>
          <w:iCs/>
        </w:rPr>
        <w:t>Extending the theory of watching to pre-event writing</w:t>
      </w:r>
    </w:p>
    <w:p w14:paraId="6A6F0435" w14:textId="77777777" w:rsidR="009F328B" w:rsidRDefault="00000000">
      <w:pPr>
        <w:spacing w:after="240"/>
      </w:pPr>
      <w:r>
        <w:rPr>
          <w:i/>
          <w:iCs/>
        </w:rPr>
        <w:t>Design discussion, part six — for the AI Sports Journalism Writing Tutor</w:t>
      </w:r>
    </w:p>
    <w:p w14:paraId="40014802" w14:textId="77777777" w:rsidR="009F328B" w:rsidRDefault="00000000">
      <w:pPr>
        <w:spacing w:after="160"/>
      </w:pPr>
      <w:r>
        <w:t>This note extends the project from the match report to the match preview. It should be read after the conceptual spine (part three) and the reader's-journey note (part two), because it leans on both: the safe-arena ontology and the attachment-with-a-dial mechanism are the tools used here, now pointed forward in time rather than back. It has also been checked against Andrews' features chapter (ch. 7), which is where Andrews himself would file the preview — his profile section pegs the build-up piece to a forthcoming event and cross-refers to chapter 5, so in his taxonomy the appetite-raising preview is a feature, usually a profile or an opinion column. That chapter is more developed than chapter 5 because features are where he does his craft thinking, and sections 4, 5 and 8 below have been revised in its light. The whole of it remains a derivation, worked out in discussion, and not yet checked against a corpus of real previews. That status matters and is returned to at the end; the structure below reads cleanly, and reading cleanly is precisely the warning sign this project is built to distrust.</w:t>
      </w:r>
    </w:p>
    <w:p w14:paraId="0C345E01" w14:textId="77777777" w:rsidR="009F328B" w:rsidRDefault="00000000">
      <w:pPr>
        <w:pStyle w:val="Heading1"/>
      </w:pPr>
      <w:r>
        <w:t>1. A nomenclature decision, made deliberately</w:t>
      </w:r>
    </w:p>
    <w:p w14:paraId="500707B5" w14:textId="77777777" w:rsidR="009F328B" w:rsidRDefault="00000000">
      <w:pPr>
        <w:spacing w:after="160"/>
      </w:pPr>
      <w:r>
        <w:t>The standard British textbook treatment (Andrews, Sports Journalism: A Practical Introduction, ch. 5) splits the pre-event field in two. It reserves the word “preview” for a fixture-card data block — kick-off, referee, probable line-ups in formation, injuries, a one-line forecast — and files the discursive, appetite-raising piece separately under “build-up” or “scene-setter,” handing the craft of writing it off to a later chapter. This project uses “preview” the other way: the preview is the pre-view, the piece written to be read before the watching and to shape it. Andrews' fixture card is, in our terms, not a form of writing at all but an information panel.</w:t>
      </w:r>
    </w:p>
    <w:p w14:paraId="38BF7F33" w14:textId="77777777" w:rsidR="009F328B" w:rsidRDefault="00000000">
      <w:pPr>
        <w:spacing w:after="160"/>
      </w:pPr>
      <w:r>
        <w:t>Andrews' split appears to reflect newsroom production roles — the day-of furniture that sits beside the report, versus the week's feature pieces — rather than standard usage. That reading is plausible but unverified; it would need two or three more textbooks read to stand up. It is recorded here as a caveat, not a finding. What matters for the tool is that we have fixed a single clear term: the preview is the scene-setter, and its job is to make the reader want the match and know how to watch it.</w:t>
      </w:r>
    </w:p>
    <w:p w14:paraId="257F9634" w14:textId="77777777" w:rsidR="009F328B" w:rsidRDefault="00000000">
      <w:pPr>
        <w:pStyle w:val="Heading1"/>
      </w:pPr>
      <w:r>
        <w:t>2. The report's reasons, run forward</w:t>
      </w:r>
    </w:p>
    <w:p w14:paraId="2AB21817" w14:textId="77777777" w:rsidR="009F328B" w:rsidRDefault="00000000">
      <w:pPr>
        <w:spacing w:after="160"/>
      </w:pPr>
      <w:r>
        <w:t>Andrews does for the report what he never does for the preview: he asks what it is for. His “why report sport?” list gives a report's reasons for existing even when the result is already known — vicarious experience, reliving, testing one's opinion against an expert's, information, entertainment, and analysis or context. The project's move is to take that list, which is the author's own best thinking, and run it forward to the pre-event case. The result is not a clean mirror. It contracts, and the contractions are the most informative part.</w:t>
      </w:r>
    </w:p>
    <w:p w14:paraId="0D5303F9" w14:textId="77777777" w:rsidR="009F328B" w:rsidRDefault="00000000">
      <w:pPr>
        <w:spacing w:after="160"/>
      </w:pPr>
      <w:r>
        <w:t xml:space="preserve">Reliving has no backward-facing counterpart — there is nothing yet to relive — but it does not simply vanish. Its underlying faculty is not memory but the imaginative occupation of a match one is not bodily watching: living it outside the ninety minutes. The report serves that by replay; the preview serves the same faculty by rehearsal. We call the forward form preliving. Crucially, preliving absorbs vicarious experience as well: before the event, no one was present, so the report's split between “for those who were there” and “for those who were not” collapses, and the two experiential reasons become one. The preview therefore has fewer functions than the report, because distinctions that depend on the event having happened do not yet exist. The preview is not </w:t>
      </w:r>
      <w:r>
        <w:lastRenderedPageBreak/>
        <w:t>the report's mirror; it is the report's simpler ancestor — the same functions before the event forks them.</w:t>
      </w:r>
    </w:p>
    <w:p w14:paraId="44CC2439" w14:textId="77777777" w:rsidR="009F328B" w:rsidRDefault="00000000">
      <w:pPr>
        <w:pStyle w:val="Heading1"/>
      </w:pPr>
      <w:r>
        <w:t>3. The master function: pre-attachment in the safe arena</w:t>
      </w:r>
    </w:p>
    <w:p w14:paraId="66968475" w14:textId="77777777" w:rsidR="009F328B" w:rsidRDefault="00000000">
      <w:pPr>
        <w:spacing w:after="160"/>
      </w:pPr>
      <w:r>
        <w:t>The conceptual spine says the value of sport is that it is important because it is not — passion runs free because consequence has been removed, and the words of a good report do not build feeling but trigger feeling the reader already carries and open the gate to that safe arena. Pointed forward, this tells us what the preview is finally for. Not to inform, and not merely to entertain, but to get the reader to invest in advance: to step into the safe arena early, on imagined material, and drift into mildly wanting an outcome before a ball is kicked. That is preliving, and on this theory it is not one function among several. It is the master function. The other reasons, run forward, are the means by which it is achieved.</w:t>
      </w:r>
    </w:p>
    <w:p w14:paraId="37646FF8" w14:textId="77777777" w:rsidR="009F328B" w:rsidRDefault="00000000">
      <w:pPr>
        <w:spacing w:after="160"/>
      </w:pPr>
      <w:r>
        <w:t>This is the move that disciplines the model. Earlier we had two functions, preliving and “expert-testing” (the writer stakes a reading; the reader watches to adjudicate), and a single object — the on-field matchup — that seemed to serve both, with no principled way to say which. The safe-arena theory removes the ambiguity. Expert-testing is not a rival function to preliving; it is one of the ways preliving recruits the reader. Staking a contested reading is an attachment-offer: it hands the unaffiliated reader a proposition to care about, a reason to drift into wanting. Everything reports to pre-attachment. “Expert-testing versus preliving” was a false split between a function and one of its instruments.</w:t>
      </w:r>
    </w:p>
    <w:p w14:paraId="2328536A" w14:textId="77777777" w:rsidR="009F328B" w:rsidRDefault="00000000">
      <w:pPr>
        <w:pStyle w:val="Heading1"/>
      </w:pPr>
      <w:r>
        <w:t>4. The structure: one function, several offers, shared frames</w:t>
      </w:r>
    </w:p>
    <w:p w14:paraId="5D14C693" w14:textId="77777777" w:rsidR="009F328B" w:rsidRDefault="00000000">
      <w:pPr>
        <w:spacing w:after="160"/>
      </w:pPr>
      <w:r>
        <w:t>The model has three layers, but they do not form a tidy tree, and the refusal to be a tree is the point.</w:t>
      </w:r>
    </w:p>
    <w:p w14:paraId="0112D0AB" w14:textId="77777777" w:rsidR="009F328B" w:rsidRDefault="00000000">
      <w:pPr>
        <w:spacing w:after="160"/>
      </w:pPr>
      <w:r>
        <w:rPr>
          <w:b/>
          <w:bCs/>
        </w:rPr>
        <w:t xml:space="preserve">The function. </w:t>
      </w:r>
      <w:r>
        <w:t>One master: pre-attachment — open the safe arena early and get the reader to invest in the imagined match. (A possible second, smaller function is discussed in section 6.)</w:t>
      </w:r>
    </w:p>
    <w:p w14:paraId="49DBECBD" w14:textId="77777777" w:rsidR="009F328B" w:rsidRDefault="00000000">
      <w:pPr>
        <w:spacing w:after="160"/>
      </w:pPr>
      <w:r>
        <w:rPr>
          <w:b/>
          <w:bCs/>
        </w:rPr>
        <w:t xml:space="preserve">The offers. </w:t>
      </w:r>
      <w:r>
        <w:t>The attachment-offers are the means: the tactical-systemic reading (how the two shapes collide, where one opens space the other wants); the individual matchup (this duel, watchable as it resolves); the key-player hinge (if he plays or is fit, one match; if not, another); the human-interest peg (the returning hero, the debutant, the manager enduring something); the grudge or back-story (the score being settled); and the existential or human-meaning offer (the small parable of hope, decline and how people bear reversal — sport as life, rehearsed where being wrong costs nothing).</w:t>
      </w:r>
    </w:p>
    <w:p w14:paraId="1515E67B" w14:textId="77777777" w:rsidR="009F328B" w:rsidRDefault="00000000">
      <w:pPr>
        <w:spacing w:after="160"/>
      </w:pPr>
      <w:r>
        <w:rPr>
          <w:b/>
          <w:bCs/>
        </w:rPr>
        <w:t xml:space="preserve">The frames. </w:t>
      </w:r>
      <w:r>
        <w:t>What each offer fixes on: a system, a duel, a player, a selection decision, the conditions, an official. These are the concrete things the writing points at.</w:t>
      </w:r>
    </w:p>
    <w:p w14:paraId="0437B722" w14:textId="77777777" w:rsidR="009F328B" w:rsidRDefault="00000000">
      <w:pPr>
        <w:spacing w:after="160"/>
      </w:pPr>
      <w:r>
        <w:t>The frames are shared property. The same matchup can be offered to be savoured in advance (preliving directly) or to be adjudicated (the expert-testing offer); the same dropped key player can be an attachment-hinge and, as section 6 argues, a conversation-piece. A frame does not belong to one offer, and an offer does not belong to one function. The analysis of any real preview is therefore not a branch of a tree but a set of bindings: for this piece, which offer is being run, pointed at which frame, asking the reader to invest in what. The same frame may appear in more than one binding.</w:t>
      </w:r>
    </w:p>
    <w:p w14:paraId="68793A89" w14:textId="77777777" w:rsidR="009F328B" w:rsidRDefault="00000000">
      <w:pPr>
        <w:spacing w:after="160"/>
      </w:pPr>
      <w:r>
        <w:t>Quality lives in the bindings, not in the inventory. A weak preview names frames and binds them to nothing — which is exactly what Andrews' fixture card is: probable line-ups and injuries present, but bound to no function beyond bare information, making no offer, handing the reader a database, which the spine identifies as the one thing that cannot unlock safe passion. A strong preview binds one frame to more than one function at once — the duel you are invited both to relish and to bet on — which is why good previews feel dense and economical. What the tool assesses is not “are the elements present” but “what is bound to what, and how hard is each binding working.”</w:t>
      </w:r>
    </w:p>
    <w:p w14:paraId="0DC799E6" w14:textId="77777777" w:rsidR="009F328B" w:rsidRDefault="00000000">
      <w:pPr>
        <w:pStyle w:val="Heading1"/>
      </w:pPr>
      <w:r>
        <w:lastRenderedPageBreak/>
        <w:t>5. The writer's discipline, and a correction about endings</w:t>
      </w:r>
    </w:p>
    <w:p w14:paraId="3D67D742" w14:textId="77777777" w:rsidR="009F328B" w:rsidRDefault="00000000">
      <w:pPr>
        <w:pStyle w:val="Heading2"/>
      </w:pPr>
      <w:r>
        <w:t>Peg and angle: complementary to offer and frame, not a replacement</w:t>
      </w:r>
    </w:p>
    <w:p w14:paraId="53B9DC7C" w14:textId="77777777" w:rsidR="009F328B" w:rsidRDefault="00000000">
      <w:pPr>
        <w:spacing w:after="160"/>
      </w:pPr>
      <w:r>
        <w:t>The features chapter supplies a vocabulary it is tempting to fold into ours, and the temptation should be resisted, because the two vocabularies do different jobs at different moments. Andrews' peg is the news event a piece hangs on (the forthcoming match, the sacking, the record about to fall); his angle is the chosen line of approach to it (focus on the rivalry, or the player who has turned out for both clubs, or the policing operation). His own list of angles for “the run-up to a big game” is, in fact, close to our offer-list in different words — rivalry and previous meetings (our grudge / back-story), the ex-player (our key-player / human-interest), the police operation (an off-field public-order angle our list had not enumerated). The independent arrival at the same joint is reassuring; it also means the offer-layer is not a project invention so much as a re-derivation of Andrews' angle concept.</w:t>
      </w:r>
    </w:p>
    <w:p w14:paraId="1C4C7543" w14:textId="77777777" w:rsidR="009F328B" w:rsidRDefault="00000000">
      <w:pPr>
        <w:spacing w:after="160"/>
      </w:pPr>
      <w:r>
        <w:t>But peg/angle and offer/frame are not rivals for one slot, because they are not the same kind of thing. Peg/angle is a compositional discipline: prospective, prescriptive, addressed to the writer at the moment of building a piece. Its whole value is in what it excludes — choose your peg, commit to one angle, do not let the piece try to do too many things. It is a focus-enforcer, and it answers “what is this piece about, and have I held it to that?” Offer/frame is an analytic decomposition: retrospective, descriptive, addressed to the tool at the moment of reading a finished piece. It does not tell the writer to do less; it describes what is there, including when a piece is doing several things at once, and answers “what does this piece do, and to whom?” They operate at different moments (compose versus diagnose) and in different directions (prescriptive versus descriptive), so they do not conflict. A good tutor hands the writer both: peg/angle to draft with focus, offer/frame to check what the draft actually achieves. Our vocabulary stays the tool's spine; Andrews' is the writer-facing companion.</w:t>
      </w:r>
    </w:p>
    <w:p w14:paraId="3C3B5A9D" w14:textId="77777777" w:rsidR="009F328B" w:rsidRDefault="00000000">
      <w:pPr>
        <w:spacing w:after="160"/>
      </w:pPr>
      <w:r>
        <w:t>The clearest place the two meet is the failure case of a subhead that switches away from the key angle. In Andrews' terms this is a peg/angle failure: the writer has let the piece drift off its single focus, the precise thing the discipline exists to prevent. But it is the offer/frame lens that explains why the drift hurts — the subhead introduces a new offer, bound to a frame the main angle was not built to carry, so the reader's investment, recruited toward one thing, is abruptly asked to relocate. This is the structural cousin of the buried-equaliser fault from the reader's-journey note: there the payoff never arrives; here the thing the reader was invested in is swapped out mid-piece. An orphan offer — one bound to a frame no other part of the piece supports — is therefore a diagnosis the tool can surface in descriptive terms (“this subhead pulls the reader off your central line”) that resolves into advice in the writer's prescriptive terms (“it is a second angle competing with your first”). The handover between the two vocabularies is itself a teaching move, which is the strongest argument for keeping them distinct rather than collapsing one into the other.</w:t>
      </w:r>
    </w:p>
    <w:p w14:paraId="4C10199E" w14:textId="77777777" w:rsidR="009F328B" w:rsidRDefault="00000000">
      <w:pPr>
        <w:pStyle w:val="Heading2"/>
      </w:pPr>
      <w:r>
        <w:t>A correction: the preview owes a crafted outro</w:t>
      </w:r>
    </w:p>
    <w:p w14:paraId="20B3A169" w14:textId="77777777" w:rsidR="009F328B" w:rsidRDefault="00000000">
      <w:pPr>
        <w:spacing w:after="160"/>
      </w:pPr>
      <w:r>
        <w:t>An earlier claim in the project's thinking — that the preview “has no ending, because the event is the ending,” and so should resolve on tension rather than resolution, closing on a question — was too clean and is corrected here. If the preview is a feature, Andrews' feature theory applies, and it is emphatic in the other direction: the feature's outro is “not expendable,” is “perhaps the most important after the intro,” and should round the piece off “just as the final paragraph of a novel does,” often by coming full circle. The preview, as a feature, still owes the reader a crafted, satisfying outro. Anticipation and shape are not in tension: the question intro and the full-circle device show a piece can close with form and forward-lean at once — raise a question and give it shape within the same piece, while still pointing past the final whistle. “Resolve on tension, no ending” overstated it; the accurate version is that the preview's outro carries anticipation as well as closure, which is a harder thing to write, not an absent one.</w:t>
      </w:r>
    </w:p>
    <w:p w14:paraId="2643F8E9" w14:textId="77777777" w:rsidR="009F328B" w:rsidRDefault="00000000">
      <w:pPr>
        <w:pStyle w:val="Heading2"/>
      </w:pPr>
      <w:r>
        <w:lastRenderedPageBreak/>
        <w:t>Two mechanisms the features chapter names for us</w:t>
      </w:r>
    </w:p>
    <w:p w14:paraId="18B0CC3A" w14:textId="77777777" w:rsidR="009F328B" w:rsidRDefault="00000000">
      <w:pPr>
        <w:spacing w:after="160"/>
      </w:pPr>
      <w:r>
        <w:t>Two of Andrews' feature sub-types correspond to things the model wanted and had not named. The participation piece — the reporter who joins the training session, the cycling feature written from inside the peloton — is a pure preliving mechanism: “show, don't tell,” taking the reader bodily into the experience so they occupy it imaginatively. It is the strongest form of the experiential offer, and worth holding as a distinct technique the preview can borrow. The crossover piece — Beckham's metatarsal becoming a medical story, assault allegations becoming morality pieces — is the opposite: the case where sport leaves the safe arena and real consequence returns. The conceptual spine predicts exactly this as the boundary where bias stops being free, because an instrumental function reappears downstream. The crossover piece is therefore a testable bridge between Andrews' taxonomy and the project's ontology: it is the named category that sits on the safe-arena boundary, and a tool that understood the spine would treat crossover material differently from sporting material for precisely that reason.</w:t>
      </w:r>
    </w:p>
    <w:p w14:paraId="51978EC8" w14:textId="77777777" w:rsidR="009F328B" w:rsidRDefault="00000000">
      <w:pPr>
        <w:pStyle w:val="Heading1"/>
      </w:pPr>
      <w:r>
        <w:t>6. The retention condition, and a second function</w:t>
      </w:r>
    </w:p>
    <w:p w14:paraId="3E4D73F6" w14:textId="77777777" w:rsidR="009F328B" w:rsidRDefault="00000000">
      <w:pPr>
        <w:pStyle w:val="Heading2"/>
      </w:pPr>
      <w:r>
        <w:t>Well-written as the gate before the gate</w:t>
      </w:r>
    </w:p>
    <w:p w14:paraId="3C666E06" w14:textId="77777777" w:rsidR="009F328B" w:rsidRDefault="00000000">
      <w:pPr>
        <w:spacing w:after="160"/>
      </w:pPr>
      <w:r>
        <w:t>Writing quality is not an attachment-offer and should not be filed as one. It operates at a different level: it is the reason to keep reading, and its failure is the reason to stop. The offers are reasons to invest in the match; the writing is the reason to stay in the text long enough to receive any offer at all. If the prose loses the reader in the second sentence, no offer is made, because the reader is gone. So writing quality is a retention condition on the whole piece — a gate before the gate — prior to and underneath every offer, on its own axis. This yields two clean and separate failure modes: a preview can make fine offers and fail because the writing shed the reader before they landed, and a preview can retain beautifully and fail because, having kept the reader, it offered nothing to invest in.</w:t>
      </w:r>
    </w:p>
    <w:p w14:paraId="4097A4DC" w14:textId="77777777" w:rsidR="009F328B" w:rsidRDefault="00000000">
      <w:pPr>
        <w:spacing w:after="160"/>
      </w:pPr>
      <w:r>
        <w:t>This also re-handles the reader who takes pleasure purely in the form of the sentences, cadence and phrasing irrespective of subject. For that reader retention is the whole experience; they stay for the prose and never need an offer. We treat retention as instrumental — it keeps the reader present so an offer can land — and therefore do not design for the pure-form reader, for whom it is terminal. This is a positive boundary, not neglect: optimising for sentence-beauty as an end would teach against economy and toward the fluent-but-flat default the project exists to correct.</w:t>
      </w:r>
    </w:p>
    <w:p w14:paraId="149C6D1B" w14:textId="77777777" w:rsidR="009F328B" w:rsidRDefault="00000000">
      <w:pPr>
        <w:pStyle w:val="Heading2"/>
      </w:pPr>
      <w:r>
        <w:t>Social currency: feeling safely together</w:t>
      </w:r>
    </w:p>
    <w:p w14:paraId="50126ED6" w14:textId="77777777" w:rsidR="009F328B" w:rsidRDefault="00000000">
      <w:pPr>
        <w:spacing w:after="160"/>
      </w:pPr>
      <w:r>
        <w:t>There is a function the documents only gesture at — the social reader “gathering a take for the pub” — that is larger than a gathered take and is not a register of pre-attachment. Sport's value is partly external to the watching: it is the shared token that lets a person talk to a parent, a stranger at a bar, a colleague with whom they share nothing else. At a tournament an England game becomes the weather — the universally available substrate of small talk, the thing one can open with to anyone because everyone has it. The preview feeds this by arming the reader for the conversation: the line, the angle, the “did you see who they have left out,” the thing one can say to be a participant rather than a bystander.</w:t>
      </w:r>
    </w:p>
    <w:p w14:paraId="6E32F343" w14:textId="77777777" w:rsidR="009F328B" w:rsidRDefault="00000000">
      <w:pPr>
        <w:spacing w:after="160"/>
      </w:pPr>
      <w:r>
        <w:t xml:space="preserve">This is a genuinely separate function, because its beneficiary and direction differ. The attachment-offers recruit the reader inward, toward their own engagement with the game; social currency points outward, toward the reader's standing in a conversation with other people. Pre-attachment serves the reader as watcher; social equipment serves the reader as talker. The frames are shared once more — the dropped player is an attachment-hinge and a talking point; the grudge is investment-fuel and shared context — but the discipline now holds, because we have two distinct functions to bind to and a clear test of which: does this make the reader want to watch, or does it </w:t>
      </w:r>
      <w:r>
        <w:lastRenderedPageBreak/>
        <w:t>give them something to say? Often both, but they are separable, and the binding records which work the frame is doing.</w:t>
      </w:r>
    </w:p>
    <w:p w14:paraId="33AB4448" w14:textId="77777777" w:rsidR="009F328B" w:rsidRDefault="00000000">
      <w:pPr>
        <w:spacing w:after="160"/>
      </w:pPr>
      <w:r>
        <w:t>Social currency is not a bolt-on to the theory; it is the social face of the same safe-arena ontology. Sport is ideal small-talk precisely because it is consequence-free: one can disagree with a stranger, vehemently, about whether the manager should go, and nobody's job, politics or moral standing is at stake. The same un-tethering that lets passion run free also makes it safe to share with anyone. The arena lets the reader feel safely alone and safely together. That symmetry is attractive — and attractive is, again, the warning sign; it was generated to fit, it may be right, and it is not evidence.</w:t>
      </w:r>
    </w:p>
    <w:p w14:paraId="4C674A35" w14:textId="77777777" w:rsidR="009F328B" w:rsidRDefault="00000000">
      <w:pPr>
        <w:spacing w:after="160"/>
      </w:pPr>
      <w:r>
        <w:t>A correction to the novelty of this, made after reading the features chapter. Social currency should not be claimed as a new function the project surfaces. Andrews already states it locally, for the opinion column: “many columns are the printed equivalent of a discussion in the pub or on the way home from the game,” and the column exists partly to “generate controversy and provoke discussion and argument among readers.” He even fuses it with the expert-testing offer in the same breath — the column's most important element is controversy, deliberately taking a stance to give the reader “something to argue against,” which is simultaneously an attachment-offer (invest in the take) and social ammunition (something to say). So the function is in the textbook. What the project may legitimately add is not the function but its scope: making it a cross-form engine that runs through preview, report and column alike, rather than a local observation about columns. That is a smaller and more defensible claim, and it is the one the note now makes.</w:t>
      </w:r>
    </w:p>
    <w:p w14:paraId="3196BB1B" w14:textId="77777777" w:rsidR="009F328B" w:rsidRDefault="00000000">
      <w:pPr>
        <w:pStyle w:val="Heading1"/>
      </w:pPr>
      <w:r>
        <w:t>7. Open questions and the tests that would settle them</w:t>
      </w:r>
    </w:p>
    <w:p w14:paraId="7E94CB34" w14:textId="77777777" w:rsidR="009F328B" w:rsidRDefault="00000000">
      <w:pPr>
        <w:spacing w:after="160"/>
      </w:pPr>
      <w:r>
        <w:rPr>
          <w:b/>
          <w:bCs/>
        </w:rPr>
        <w:t xml:space="preserve">Is social currency really independent? </w:t>
      </w:r>
      <w:r>
        <w:t>It may always ride along with an attachment-offer and never appear alone. If it never appears alone in real previews, it may be a use readers make of offers rather than a thing previews independently do, and the two-function model would be one function too many. The test: find a preview passage doing social-equipping work that is doing no attachment work, or accept that it is a parasite on the offers.</w:t>
      </w:r>
    </w:p>
    <w:p w14:paraId="2D448646" w14:textId="77777777" w:rsidR="009F328B" w:rsidRDefault="00000000">
      <w:pPr>
        <w:spacing w:after="160"/>
      </w:pPr>
      <w:r>
        <w:rPr>
          <w:b/>
          <w:bCs/>
        </w:rPr>
        <w:t xml:space="preserve">Does pre-attachment behave like attachment? </w:t>
      </w:r>
      <w:r>
        <w:t>The watching-theory was derived for reports — post-event, attachment paid off or broken. Applying it to imagined, pre-event material assumes anticipation is the same psychological animal as lived engagement, only earlier. It may merely resemble it. This is the single biggest load-bearing assumption in the note.</w:t>
      </w:r>
    </w:p>
    <w:p w14:paraId="38DFF2FD" w14:textId="77777777" w:rsidR="009F328B" w:rsidRDefault="00000000">
      <w:pPr>
        <w:spacing w:after="160"/>
      </w:pPr>
      <w:r>
        <w:rPr>
          <w:b/>
          <w:bCs/>
        </w:rPr>
        <w:t xml:space="preserve">The existential offer is the highest counterfeit risk. </w:t>
      </w:r>
      <w:r>
        <w:t>It is the register a model fakes most easily, because “the veteran's last shot, football mirrors life” is itself a cliche reservoir. A genuine parable-of-decline preview and one that merely says “this is about more than football” can look nearly identical on the surface and do opposite work on the reader. This is the offer-type where the tool's discrimination is hardest and matters most.</w:t>
      </w:r>
    </w:p>
    <w:p w14:paraId="0279994C" w14:textId="77777777" w:rsidR="009F328B" w:rsidRDefault="00000000">
      <w:pPr>
        <w:spacing w:after="160"/>
      </w:pPr>
      <w:r>
        <w:rPr>
          <w:b/>
          <w:bCs/>
        </w:rPr>
        <w:t xml:space="preserve">Social currency is in tension with the cliche clinic. </w:t>
      </w:r>
      <w:r>
        <w:t>The “something to say at the pub” is often the stock phrase itself — “must-win,” “they always struggle away from home” — because cliche is the shared coin, legible to everyone, which is what makes it good lubricant. The tool therefore cannot treat all cliche as pure vice; some is doing the social-currency job. Distinguishing cliche-as-lazy-default from cliche-as-shared-coin is one of the harder calls the design faces and should not be resolved by reflex.</w:t>
      </w:r>
    </w:p>
    <w:p w14:paraId="0DFAB3BB" w14:textId="77777777" w:rsidR="009F328B" w:rsidRDefault="00000000">
      <w:pPr>
        <w:spacing w:after="160"/>
      </w:pPr>
      <w:r>
        <w:rPr>
          <w:b/>
          <w:bCs/>
        </w:rPr>
        <w:t xml:space="preserve">Is “aspect” a fourth layer? </w:t>
      </w:r>
      <w:r>
        <w:t>An aspect (a degreed property of the whole piece — how tactical is it) may not be identical to an element (a discrete component one can point to). They may be two views of one thing, or two layers wearing one coat. Held open rather than collapsed, because collapsing by tidiness could hide a real distinction.</w:t>
      </w:r>
    </w:p>
    <w:p w14:paraId="65CDCC79" w14:textId="77777777" w:rsidR="009F328B" w:rsidRDefault="00000000">
      <w:pPr>
        <w:spacing w:after="160"/>
      </w:pPr>
      <w:r>
        <w:lastRenderedPageBreak/>
        <w:t>All of these resolve the same way: pull a handful of genuinely good previews and parse each into bindings — offer, frame, what the reader is asked to invest in or say. That simultaneously tests whether the layers are right, whether pre-attachment is really the master, whether social currency stands alone, and whether anything load-bearing in a real preview is not captured by any offer. Until that is done, this note is in the state the handover warns about: internally coherent across two documents, which is not the same as true. It fits the watching-theory well because both were built in the same conversation by the same hand — marking one's own homework with the answer key open. The corpus test is the answer key taken away.</w:t>
      </w:r>
    </w:p>
    <w:p w14:paraId="232A3000" w14:textId="77777777" w:rsidR="009F328B" w:rsidRDefault="00000000">
      <w:pPr>
        <w:pStyle w:val="Heading1"/>
      </w:pPr>
      <w:r>
        <w:t>8. Does social currency force a revisit of the match report?</w:t>
      </w:r>
    </w:p>
    <w:p w14:paraId="24803503" w14:textId="77777777" w:rsidR="009F328B" w:rsidRDefault="00000000">
      <w:pPr>
        <w:spacing w:after="160"/>
      </w:pPr>
      <w:r>
        <w:t>The honest answer is yes, partially, and the revisit is real rather than cosmetic. The reader's-journey note builds the report on two engines, attachment and economy, judged by whether the writing extends the permission to feel safely. Social currency was present in that note only as a named reader-type — “the social reader, gathering a take for the pub” — listed among the chairs and then folded into the attachment mechanism, not treated as a function in its own right. If social currency is a genuinely separate function for the preview, parity demands asking whether it is one for the report too. It almost certainly is. The report is at least as much social ammunition as the preview — arguably more, because it carries the result, the verdict, the line you take into Monday. “We were robbed,” “he has to go,” “best game I have seen all season” are report-fed social currency, and the post-match argument in the pub, which the note already names, is exactly this function in flight.</w:t>
      </w:r>
    </w:p>
    <w:p w14:paraId="657E72BA" w14:textId="77777777" w:rsidR="009F328B" w:rsidRDefault="00000000">
      <w:pPr>
        <w:spacing w:after="160"/>
      </w:pPr>
      <w:r>
        <w:t>So the report model is incomplete in the same place the preview model would have been without this note. It has the inward engine (attachment) and the cost-control (economy) but not the outward, social-equipment engine as a first-class thing. Three consequences follow, and they should be recorded against the report tool, not just the preview one.</w:t>
      </w:r>
    </w:p>
    <w:p w14:paraId="3F044414" w14:textId="77777777" w:rsidR="009F328B" w:rsidRDefault="00000000">
      <w:pPr>
        <w:spacing w:after="160"/>
      </w:pPr>
      <w:r>
        <w:rPr>
          <w:b/>
          <w:bCs/>
        </w:rPr>
        <w:t xml:space="preserve">The attachment-payoff judgement is too narrow. </w:t>
      </w:r>
      <w:r>
        <w:t>The note's sharpest single finding — that burying the equaliser is a missed attachment payoff — is right but partial. The buried goal is also a missed social-currency payoff: it is the moment the reader would have carried into conversation, the thing to say, and the report failed to arm them with it. The fault is worse than the note claims, in a second dimension it does not yet name.</w:t>
      </w:r>
    </w:p>
    <w:p w14:paraId="21B48C6F" w14:textId="77777777" w:rsidR="009F328B" w:rsidRDefault="00000000">
      <w:pPr>
        <w:spacing w:after="160"/>
      </w:pPr>
      <w:r>
        <w:rPr>
          <w:b/>
          <w:bCs/>
        </w:rPr>
        <w:t xml:space="preserve">Economy has a second customer. </w:t>
      </w:r>
      <w:r>
        <w:t>The economy track asks what each phrase does per word toward triggering feeling. It should also ask what each phrase does toward equipping the reader to talk. These can compete: the most quotable, repeatable line — the social coin — is not always the most feeling-efficient one, and a report optimised purely for private emotional payoff may under-serve the reader who reads to have something to say. The two customers of the word budget are the reader-as-feeler and the reader-as-talker.</w:t>
      </w:r>
    </w:p>
    <w:p w14:paraId="267C37A5" w14:textId="77777777" w:rsidR="009F328B" w:rsidRDefault="00000000">
      <w:pPr>
        <w:spacing w:after="160"/>
      </w:pPr>
      <w:r>
        <w:rPr>
          <w:b/>
          <w:bCs/>
        </w:rPr>
        <w:t xml:space="preserve">The cliche tension is the same tension, and it bites harder in the report. </w:t>
      </w:r>
      <w:r>
        <w:t>Because the report carries the verdict, it is the richest source of social coin, and social coin is often cliche. The clinic's instinct to strike “we were robbed” collides with the fact that “we were robbed” is the precise social currency the aggrieved fan wants handed to them. Whatever discrimination the preview tool needs between lazy cliche and shared coin, the report tool needs it more.</w:t>
      </w:r>
    </w:p>
    <w:p w14:paraId="066F8D10" w14:textId="77777777" w:rsidR="009F328B" w:rsidRDefault="00000000">
      <w:pPr>
        <w:spacing w:after="160"/>
      </w:pPr>
      <w:r>
        <w:t>The recommendation is therefore to treat social currency as a function across the whole toolkit, not a preview-only addition: add it as a third engine alongside attachment and economy in the reader's-journey model, with the same standing caveat that it is derived and untested, and the same corpus test — do real reports, like real previews, do identifiable social-equipping work that the attachment lens alone does not capture? If they do not, the function is a parasite on attachment everywhere and can be dropped everywhere, which would be a clean negative result. If they do, both tools gain an engine, and the report tool in particular is corrected in a place it was quietly wrong. Either outcome is worth having on paper before the next session inherits the work.</w:t>
      </w:r>
    </w:p>
    <w:p w14:paraId="0083434F" w14:textId="77777777" w:rsidR="009F328B" w:rsidRDefault="00000000">
      <w:pPr>
        <w:spacing w:before="240"/>
      </w:pPr>
      <w:r>
        <w:rPr>
          <w:i/>
          <w:iCs/>
        </w:rPr>
        <w:lastRenderedPageBreak/>
        <w:t>Working note, part six — the preview, and social currency across the toolkit. Read alongside parts two and three. AI Personal Tutor Toolkit / sports-journalism variant. Derived in discussion; not yet tested against a corpus. For internal reference and later development.</w:t>
      </w:r>
    </w:p>
    <w:sectPr w:rsidR="009F32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D4201"/>
    <w:multiLevelType w:val="hybridMultilevel"/>
    <w:tmpl w:val="33B8870E"/>
    <w:lvl w:ilvl="0" w:tplc="8F88E9C6">
      <w:start w:val="1"/>
      <w:numFmt w:val="bullet"/>
      <w:lvlText w:val="●"/>
      <w:lvlJc w:val="left"/>
      <w:pPr>
        <w:ind w:left="720" w:hanging="360"/>
      </w:pPr>
    </w:lvl>
    <w:lvl w:ilvl="1" w:tplc="D3A6FECA">
      <w:start w:val="1"/>
      <w:numFmt w:val="bullet"/>
      <w:lvlText w:val="○"/>
      <w:lvlJc w:val="left"/>
      <w:pPr>
        <w:ind w:left="1440" w:hanging="360"/>
      </w:pPr>
    </w:lvl>
    <w:lvl w:ilvl="2" w:tplc="42701430">
      <w:start w:val="1"/>
      <w:numFmt w:val="bullet"/>
      <w:lvlText w:val="■"/>
      <w:lvlJc w:val="left"/>
      <w:pPr>
        <w:ind w:left="2160" w:hanging="360"/>
      </w:pPr>
    </w:lvl>
    <w:lvl w:ilvl="3" w:tplc="EC3C43AA">
      <w:start w:val="1"/>
      <w:numFmt w:val="bullet"/>
      <w:lvlText w:val="●"/>
      <w:lvlJc w:val="left"/>
      <w:pPr>
        <w:ind w:left="2880" w:hanging="360"/>
      </w:pPr>
    </w:lvl>
    <w:lvl w:ilvl="4" w:tplc="247E57F6">
      <w:start w:val="1"/>
      <w:numFmt w:val="bullet"/>
      <w:lvlText w:val="○"/>
      <w:lvlJc w:val="left"/>
      <w:pPr>
        <w:ind w:left="3600" w:hanging="360"/>
      </w:pPr>
    </w:lvl>
    <w:lvl w:ilvl="5" w:tplc="084A68D2">
      <w:start w:val="1"/>
      <w:numFmt w:val="bullet"/>
      <w:lvlText w:val="■"/>
      <w:lvlJc w:val="left"/>
      <w:pPr>
        <w:ind w:left="4320" w:hanging="360"/>
      </w:pPr>
    </w:lvl>
    <w:lvl w:ilvl="6" w:tplc="AA7260F8">
      <w:start w:val="1"/>
      <w:numFmt w:val="bullet"/>
      <w:lvlText w:val="●"/>
      <w:lvlJc w:val="left"/>
      <w:pPr>
        <w:ind w:left="5040" w:hanging="360"/>
      </w:pPr>
    </w:lvl>
    <w:lvl w:ilvl="7" w:tplc="9A9E1860">
      <w:start w:val="1"/>
      <w:numFmt w:val="bullet"/>
      <w:lvlText w:val="●"/>
      <w:lvlJc w:val="left"/>
      <w:pPr>
        <w:ind w:left="5760" w:hanging="360"/>
      </w:pPr>
    </w:lvl>
    <w:lvl w:ilvl="8" w:tplc="98FC5F86">
      <w:start w:val="1"/>
      <w:numFmt w:val="bullet"/>
      <w:lvlText w:val="●"/>
      <w:lvlJc w:val="left"/>
      <w:pPr>
        <w:ind w:left="6480" w:hanging="360"/>
      </w:pPr>
    </w:lvl>
  </w:abstractNum>
  <w:num w:numId="1" w16cid:durableId="682974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8B"/>
    <w:rsid w:val="008834F6"/>
    <w:rsid w:val="009F328B"/>
    <w:rsid w:val="00A820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CD87"/>
  <w15:docId w15:val="{85F09B43-A31B-4D13-B0F0-EB670E04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180" w:after="100"/>
      <w:outlineLvl w:val="1"/>
    </w:pPr>
    <w:rPr>
      <w:b/>
      <w:bCs/>
      <w:i/>
      <w:i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3716</Words>
  <Characters>21183</Characters>
  <Application>Microsoft Office Word</Application>
  <DocSecurity>0</DocSecurity>
  <Lines>176</Lines>
  <Paragraphs>49</Paragraphs>
  <ScaleCrop>false</ScaleCrop>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Beachill</cp:lastModifiedBy>
  <cp:revision>2</cp:revision>
  <dcterms:created xsi:type="dcterms:W3CDTF">2026-06-27T13:19:00Z</dcterms:created>
  <dcterms:modified xsi:type="dcterms:W3CDTF">2026-06-27T13:19:00Z</dcterms:modified>
</cp:coreProperties>
</file>