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5F16" w14:textId="0EF26E1D" w:rsidR="00A80038" w:rsidRDefault="00E95664">
      <w:pPr>
        <w:pStyle w:val="Title"/>
        <w:jc w:val="center"/>
      </w:pPr>
      <w:r>
        <w:t>Paper 2 Research Proposal</w:t>
      </w:r>
    </w:p>
    <w:p w14:paraId="30ACCBAD" w14:textId="77777777" w:rsidR="00A80038" w:rsidRDefault="00E95664">
      <w:pPr>
        <w:jc w:val="center"/>
      </w:pPr>
      <w:r>
        <w:rPr>
          <w:b/>
          <w:sz w:val="26"/>
        </w:rPr>
        <w:t>When Does Contextual NLP Add Value?</w:t>
      </w:r>
      <w:r>
        <w:rPr>
          <w:b/>
          <w:sz w:val="26"/>
        </w:rPr>
        <w:br/>
        <w:t>Textual Innovation, Sentiment Measurement, and Market-Relevant Information in Japanese Annual Disclosures</w:t>
      </w:r>
    </w:p>
    <w:p w14:paraId="700E68E9" w14:textId="58F40920" w:rsidR="00A80038" w:rsidRDefault="00E95664">
      <w:pPr>
        <w:jc w:val="center"/>
      </w:pPr>
      <w:r>
        <w:rPr>
          <w:i/>
          <w:sz w:val="18"/>
        </w:rPr>
        <w:t>Research</w:t>
      </w:r>
      <w:r w:rsidR="007549A2">
        <w:rPr>
          <w:i/>
          <w:sz w:val="18"/>
        </w:rPr>
        <w:t xml:space="preserve"> Proposal</w:t>
      </w:r>
      <w:r>
        <w:rPr>
          <w:i/>
          <w:sz w:val="18"/>
        </w:rPr>
        <w:t xml:space="preserve"> | August 2026</w:t>
      </w:r>
    </w:p>
    <w:p w14:paraId="73DBB445" w14:textId="5BD22875" w:rsidR="00A80038" w:rsidRDefault="00E95664">
      <w:pPr>
        <w:pStyle w:val="Heading1"/>
      </w:pPr>
      <w:r>
        <w:t xml:space="preserve">1. </w:t>
      </w:r>
      <w:r w:rsidR="000C6AC2" w:rsidRPr="000C6AC2">
        <w:t>Research Question and Motivation</w:t>
      </w:r>
    </w:p>
    <w:p w14:paraId="4E9F9E32" w14:textId="6F9E8FC4" w:rsidR="00A80038" w:rsidRDefault="00E95664">
      <w:r>
        <w:rPr>
          <w:b/>
        </w:rPr>
        <w:t xml:space="preserve">The second-pass literature audit kills several easy versions of the </w:t>
      </w:r>
      <w:proofErr w:type="gramStart"/>
      <w:r>
        <w:rPr>
          <w:b/>
        </w:rPr>
        <w:t>paper, but</w:t>
      </w:r>
      <w:proofErr w:type="gramEnd"/>
      <w:r>
        <w:rPr>
          <w:b/>
        </w:rPr>
        <w:t xml:space="preserve"> leaves a stronger central question. </w:t>
      </w:r>
      <w:r>
        <w:t>Textual change, tone change, novel-versus-sticky sentiment, and dictionary-versus-machine-learning comparisons are all established. Recent Japanese work also compares dictionaries, contextual models, and generative LLMs on annual securities-report text.</w:t>
      </w:r>
    </w:p>
    <w:p w14:paraId="5C84C9FD" w14:textId="77777777" w:rsidR="00A80038" w:rsidRDefault="00E95664">
      <w:pPr>
        <w:pStyle w:val="IntenseQuote"/>
      </w:pPr>
      <w:r>
        <w:t>C</w:t>
      </w:r>
      <w:r>
        <w:t>entral research question: Does the appropriate technology for measuring market-relevant sentiment depend on whether the underlying disclosure contains genuinely new information?</w:t>
      </w:r>
    </w:p>
    <w:p w14:paraId="6D45E957" w14:textId="77777777" w:rsidR="00A80038" w:rsidRDefault="00E95664">
      <w:r>
        <w:rPr>
          <w:b/>
        </w:rPr>
        <w:t xml:space="preserve">Economic interpretation: </w:t>
      </w:r>
      <w:r>
        <w:t>contextual understanding should be most valuable when language carries firm-specific informational innovation. If a filing is dominated by persistent, formulaic language, a specialized dictionary may be sufficient—or even superior because it introduces less noise. The paper tests when model sophistication earns its keep.</w:t>
      </w:r>
    </w:p>
    <w:p w14:paraId="2E15A72B" w14:textId="77777777" w:rsidR="00A80038" w:rsidRDefault="00E95664">
      <w:pPr>
        <w:pStyle w:val="Heading1"/>
      </w:pPr>
      <w:r>
        <w:t>2. The Research Puzzle from Paper 1</w:t>
      </w:r>
    </w:p>
    <w:p w14:paraId="0FBADA24" w14:textId="77777777" w:rsidR="00A80038" w:rsidRDefault="00E95664">
      <w:r>
        <w:rPr>
          <w:b/>
        </w:rPr>
        <w:t xml:space="preserve">Paper 1 creates the motivation rather than merely supplying data. </w:t>
      </w:r>
      <w:r>
        <w:t>Its results indicate that a finance-specific dictionary is more closely associated with the market reaction than broad document-level GPT sentiment. That result should not be interpreted as evidence that the dictionary measures 'true' sentiment better. It says that, when market reaction is used as the economic validation criterion, the dictionary appears to capture more of the sentiment that matters to markets.</w:t>
      </w:r>
    </w:p>
    <w:p w14:paraId="5C8C0D46" w14:textId="40EB1CC1" w:rsidR="00F174C6" w:rsidRPr="00F174C6" w:rsidRDefault="00F174C6">
      <w:pPr>
        <w:rPr>
          <w:bCs/>
        </w:rPr>
      </w:pPr>
      <w:r w:rsidRPr="00F174C6">
        <w:rPr>
          <w:b/>
          <w:bCs/>
        </w:rPr>
        <w:t>Paper 2 asks why.</w:t>
      </w:r>
      <w:r w:rsidRPr="00F174C6">
        <w:rPr>
          <w:bCs/>
        </w:rPr>
        <w:t xml:space="preserve"> </w:t>
      </w:r>
      <w:r>
        <w:rPr>
          <w:bCs/>
        </w:rPr>
        <w:t>Several</w:t>
      </w:r>
      <w:r w:rsidRPr="00F174C6">
        <w:rPr>
          <w:bCs/>
        </w:rPr>
        <w:t xml:space="preserve"> competing explanations could account for this result. First, </w:t>
      </w:r>
      <w:r w:rsidRPr="00F174C6">
        <w:rPr>
          <w:b/>
        </w:rPr>
        <w:t>domain alignment</w:t>
      </w:r>
      <w:r w:rsidRPr="00F174C6">
        <w:rPr>
          <w:bCs/>
        </w:rPr>
        <w:t xml:space="preserve">: market-relevant sentiment may be expressed through relatively explicit financial vocabulary, making a specialized dictionary particularly well aligned with the economic signal reflected in market reactions. Second, </w:t>
      </w:r>
      <w:r w:rsidRPr="00F174C6">
        <w:rPr>
          <w:b/>
        </w:rPr>
        <w:t>information dilution</w:t>
      </w:r>
      <w:r w:rsidRPr="00F174C6">
        <w:rPr>
          <w:bCs/>
        </w:rPr>
        <w:t xml:space="preserve">: contextual models may add value </w:t>
      </w:r>
      <w:proofErr w:type="gramStart"/>
      <w:r w:rsidRPr="00F174C6">
        <w:rPr>
          <w:bCs/>
        </w:rPr>
        <w:t>on</w:t>
      </w:r>
      <w:proofErr w:type="gramEnd"/>
      <w:r w:rsidRPr="00F174C6">
        <w:rPr>
          <w:bCs/>
        </w:rPr>
        <w:t xml:space="preserve"> informative passages, but that advantage may be diluted when they score long annual disclosures containing substantial persistent or boilerplate language. Third, </w:t>
      </w:r>
      <w:r w:rsidRPr="00F174C6">
        <w:rPr>
          <w:b/>
        </w:rPr>
        <w:t>task alignment</w:t>
      </w:r>
      <w:r w:rsidRPr="00F174C6">
        <w:rPr>
          <w:bCs/>
        </w:rPr>
        <w:t xml:space="preserve">: a general-purpose LLM may understand the disclosure well while measuring a broader concept of sentiment than the narrower component reflected in market reactions. Fourth, </w:t>
      </w:r>
      <w:r w:rsidRPr="00F174C6">
        <w:rPr>
          <w:b/>
        </w:rPr>
        <w:t>technology and implementation</w:t>
      </w:r>
      <w:r w:rsidRPr="00F174C6">
        <w:rPr>
          <w:bCs/>
        </w:rPr>
        <w:t xml:space="preserve">: the result may reflect limitations of the </w:t>
      </w:r>
      <w:proofErr w:type="gramStart"/>
      <w:r w:rsidRPr="00F174C6">
        <w:rPr>
          <w:bCs/>
        </w:rPr>
        <w:t>particular GPT</w:t>
      </w:r>
      <w:proofErr w:type="gramEnd"/>
      <w:r w:rsidRPr="00F174C6">
        <w:rPr>
          <w:bCs/>
        </w:rPr>
        <w:t xml:space="preserve"> model, prompt, chunking, scoring, or aggregation procedure used in Paper 1 rather than a general limitation of generative language models. Fifth, </w:t>
      </w:r>
      <w:r w:rsidRPr="00F174C6">
        <w:rPr>
          <w:b/>
        </w:rPr>
        <w:t>signal-to-noise</w:t>
      </w:r>
      <w:r w:rsidRPr="00F174C6">
        <w:rPr>
          <w:bCs/>
        </w:rPr>
        <w:t xml:space="preserve">: contextual models may extract more linguistic information and nuance, but some of that additional information may be economically irrelevant; the narrower focus of a financial dictionary may therefore function as useful regularization. Paper 2 uses textual novelty and alternative contextual models to help distinguish </w:t>
      </w:r>
      <w:proofErr w:type="gramStart"/>
      <w:r w:rsidRPr="00F174C6">
        <w:rPr>
          <w:bCs/>
        </w:rPr>
        <w:t>among</w:t>
      </w:r>
      <w:proofErr w:type="gramEnd"/>
      <w:r w:rsidRPr="00F174C6">
        <w:rPr>
          <w:bCs/>
        </w:rPr>
        <w:t xml:space="preserve"> these explanations.</w:t>
      </w:r>
    </w:p>
    <w:p w14:paraId="13A6D2DB" w14:textId="096DB172" w:rsidR="00A80038" w:rsidRDefault="00E95664">
      <w:pPr>
        <w:pStyle w:val="Heading1"/>
      </w:pPr>
      <w:r>
        <w:lastRenderedPageBreak/>
        <w:t xml:space="preserve">3. </w:t>
      </w:r>
      <w:r w:rsidR="000C6AC2" w:rsidRPr="000C6AC2">
        <w:t>Positioning in the Existing Literature</w:t>
      </w:r>
    </w:p>
    <w:tbl>
      <w:tblPr>
        <w:tblStyle w:val="LightShading-Accent1"/>
        <w:tblW w:w="0" w:type="auto"/>
        <w:jc w:val="center"/>
        <w:tblLook w:val="04A0" w:firstRow="1" w:lastRow="0" w:firstColumn="1" w:lastColumn="0" w:noHBand="0" w:noVBand="1"/>
      </w:tblPr>
      <w:tblGrid>
        <w:gridCol w:w="2484"/>
        <w:gridCol w:w="2484"/>
        <w:gridCol w:w="2484"/>
        <w:gridCol w:w="2484"/>
      </w:tblGrid>
      <w:tr w:rsidR="00A80038" w14:paraId="25A1B8FB" w14:textId="77777777" w:rsidTr="00A800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1F3CF43" w14:textId="77777777" w:rsidR="00A80038" w:rsidRDefault="00E95664">
            <w:r>
              <w:t>Literature</w:t>
            </w:r>
          </w:p>
        </w:tc>
        <w:tc>
          <w:tcPr>
            <w:tcW w:w="2484" w:type="dxa"/>
          </w:tcPr>
          <w:p w14:paraId="0162FD8F" w14:textId="77777777" w:rsidR="00A80038" w:rsidRDefault="00E95664">
            <w:pPr>
              <w:cnfStyle w:val="100000000000" w:firstRow="1" w:lastRow="0" w:firstColumn="0" w:lastColumn="0" w:oddVBand="0" w:evenVBand="0" w:oddHBand="0" w:evenHBand="0" w:firstRowFirstColumn="0" w:firstRowLastColumn="0" w:lastRowFirstColumn="0" w:lastRowLastColumn="0"/>
            </w:pPr>
            <w:r>
              <w:t>Key evidence</w:t>
            </w:r>
          </w:p>
        </w:tc>
        <w:tc>
          <w:tcPr>
            <w:tcW w:w="2484" w:type="dxa"/>
          </w:tcPr>
          <w:p w14:paraId="4DA5FD9D" w14:textId="77777777" w:rsidR="00A80038" w:rsidRDefault="00E95664">
            <w:pPr>
              <w:cnfStyle w:val="100000000000" w:firstRow="1" w:lastRow="0" w:firstColumn="0" w:lastColumn="0" w:oddVBand="0" w:evenVBand="0" w:oddHBand="0" w:evenHBand="0" w:firstRowFirstColumn="0" w:firstRowLastColumn="0" w:lastRowFirstColumn="0" w:lastRowLastColumn="0"/>
            </w:pPr>
            <w:r>
              <w:t>What is already established</w:t>
            </w:r>
          </w:p>
        </w:tc>
        <w:tc>
          <w:tcPr>
            <w:tcW w:w="2484" w:type="dxa"/>
          </w:tcPr>
          <w:p w14:paraId="73FF5661" w14:textId="77777777" w:rsidR="00A80038" w:rsidRDefault="00E95664">
            <w:pPr>
              <w:cnfStyle w:val="100000000000" w:firstRow="1" w:lastRow="0" w:firstColumn="0" w:lastColumn="0" w:oddVBand="0" w:evenVBand="0" w:oddHBand="0" w:evenHBand="0" w:firstRowFirstColumn="0" w:firstRowLastColumn="0" w:lastRowFirstColumn="0" w:lastRowLastColumn="0"/>
            </w:pPr>
            <w:r>
              <w:t>Implication</w:t>
            </w:r>
          </w:p>
        </w:tc>
      </w:tr>
      <w:tr w:rsidR="00A80038" w14:paraId="3A8FD26A" w14:textId="77777777" w:rsidTr="00A80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484244D5" w14:textId="77777777" w:rsidR="00A80038" w:rsidRDefault="00E95664">
            <w:r>
              <w:t>Year-over-year disclosure change</w:t>
            </w:r>
          </w:p>
        </w:tc>
        <w:tc>
          <w:tcPr>
            <w:tcW w:w="2484" w:type="dxa"/>
          </w:tcPr>
          <w:p w14:paraId="31577C71" w14:textId="77777777" w:rsidR="00A80038" w:rsidRDefault="00E95664">
            <w:pPr>
              <w:cnfStyle w:val="000000100000" w:firstRow="0" w:lastRow="0" w:firstColumn="0" w:lastColumn="0" w:oddVBand="0" w:evenVBand="0" w:oddHBand="1" w:evenHBand="0" w:firstRowFirstColumn="0" w:firstRowLastColumn="0" w:lastRowFirstColumn="0" w:lastRowLastColumn="0"/>
            </w:pPr>
            <w:r>
              <w:t>Brown &amp; Tucker (2011), JAR; Cohen, Malloy &amp; Nguyen (2020), JF</w:t>
            </w:r>
          </w:p>
        </w:tc>
        <w:tc>
          <w:tcPr>
            <w:tcW w:w="2484" w:type="dxa"/>
          </w:tcPr>
          <w:p w14:paraId="044DC575" w14:textId="77777777" w:rsidR="00A80038" w:rsidRDefault="00E95664">
            <w:pPr>
              <w:cnfStyle w:val="000000100000" w:firstRow="0" w:lastRow="0" w:firstColumn="0" w:lastColumn="0" w:oddVBand="0" w:evenVBand="0" w:oddHBand="1" w:evenHBand="0" w:firstRowFirstColumn="0" w:firstRowLastColumn="0" w:lastRowFirstColumn="0" w:lastRowLastColumn="0"/>
            </w:pPr>
            <w:r>
              <w:t>MD&amp;A/filing changes are economically meaningful and can relate to market response, future returns and operations.</w:t>
            </w:r>
          </w:p>
        </w:tc>
        <w:tc>
          <w:tcPr>
            <w:tcW w:w="2484" w:type="dxa"/>
          </w:tcPr>
          <w:p w14:paraId="369CDB24" w14:textId="77777777" w:rsidR="00A80038" w:rsidRDefault="00E95664">
            <w:pPr>
              <w:cnfStyle w:val="000000100000" w:firstRow="0" w:lastRow="0" w:firstColumn="0" w:lastColumn="0" w:oddVBand="0" w:evenVBand="0" w:oddHBand="1" w:evenHBand="0" w:firstRowFirstColumn="0" w:firstRowLastColumn="0" w:lastRowFirstColumn="0" w:lastRowLastColumn="0"/>
            </w:pPr>
            <w:r>
              <w:t>Textual change itself is not a contribution.</w:t>
            </w:r>
          </w:p>
        </w:tc>
      </w:tr>
      <w:tr w:rsidR="00A80038" w14:paraId="4867D9F3" w14:textId="77777777" w:rsidTr="00A80038">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3A87FA49" w14:textId="77777777" w:rsidR="00A80038" w:rsidRDefault="00E95664">
            <w:r>
              <w:t>Tone change</w:t>
            </w:r>
          </w:p>
        </w:tc>
        <w:tc>
          <w:tcPr>
            <w:tcW w:w="2484" w:type="dxa"/>
          </w:tcPr>
          <w:p w14:paraId="0D998AD4" w14:textId="77777777" w:rsidR="00A80038" w:rsidRDefault="00E95664">
            <w:pPr>
              <w:cnfStyle w:val="000000000000" w:firstRow="0" w:lastRow="0" w:firstColumn="0" w:lastColumn="0" w:oddVBand="0" w:evenVBand="0" w:oddHBand="0" w:evenHBand="0" w:firstRowFirstColumn="0" w:firstRowLastColumn="0" w:lastRowFirstColumn="0" w:lastRowLastColumn="0"/>
            </w:pPr>
            <w:r>
              <w:t>Feldman et al. (2010), RAST</w:t>
            </w:r>
          </w:p>
        </w:tc>
        <w:tc>
          <w:tcPr>
            <w:tcW w:w="2484" w:type="dxa"/>
          </w:tcPr>
          <w:p w14:paraId="566FA55B" w14:textId="77777777" w:rsidR="00A80038" w:rsidRDefault="00E95664">
            <w:pPr>
              <w:cnfStyle w:val="000000000000" w:firstRow="0" w:lastRow="0" w:firstColumn="0" w:lastColumn="0" w:oddVBand="0" w:evenVBand="0" w:oddHBand="0" w:evenHBand="0" w:firstRowFirstColumn="0" w:firstRowLastColumn="0" w:lastRowFirstColumn="0" w:lastRowLastColumn="0"/>
            </w:pPr>
            <w:r>
              <w:t>Change in MD&amp;A tone relative to prior filings contains incremental information and is associated with filing-window returns.</w:t>
            </w:r>
          </w:p>
        </w:tc>
        <w:tc>
          <w:tcPr>
            <w:tcW w:w="2484" w:type="dxa"/>
          </w:tcPr>
          <w:p w14:paraId="142772B2" w14:textId="77777777" w:rsidR="00A80038" w:rsidRDefault="00E95664">
            <w:pPr>
              <w:cnfStyle w:val="000000000000" w:firstRow="0" w:lastRow="0" w:firstColumn="0" w:lastColumn="0" w:oddVBand="0" w:evenVBand="0" w:oddHBand="0" w:evenHBand="0" w:firstRowFirstColumn="0" w:firstRowLastColumn="0" w:lastRowFirstColumn="0" w:lastRowLastColumn="0"/>
            </w:pPr>
            <w:r>
              <w:t>Δ sentiment is useful, but cannot be the headline novelty.</w:t>
            </w:r>
          </w:p>
        </w:tc>
      </w:tr>
      <w:tr w:rsidR="00A80038" w14:paraId="52A5AD97" w14:textId="77777777" w:rsidTr="00A80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53211D76" w14:textId="77777777" w:rsidR="00A80038" w:rsidRDefault="00E95664">
            <w:r>
              <w:t>Boilerplate / persistence</w:t>
            </w:r>
          </w:p>
        </w:tc>
        <w:tc>
          <w:tcPr>
            <w:tcW w:w="2484" w:type="dxa"/>
          </w:tcPr>
          <w:p w14:paraId="38741E12" w14:textId="77777777" w:rsidR="00A80038" w:rsidRDefault="00E95664">
            <w:pPr>
              <w:cnfStyle w:val="000000100000" w:firstRow="0" w:lastRow="0" w:firstColumn="0" w:lastColumn="0" w:oddVBand="0" w:evenVBand="0" w:oddHBand="1" w:evenHBand="0" w:firstRowFirstColumn="0" w:firstRowLastColumn="0" w:lastRowFirstColumn="0" w:lastRowLastColumn="0"/>
            </w:pPr>
            <w:r>
              <w:t>Dyer, Lang &amp; Stice-Lawrence (2017), JAE</w:t>
            </w:r>
          </w:p>
        </w:tc>
        <w:tc>
          <w:tcPr>
            <w:tcW w:w="2484" w:type="dxa"/>
          </w:tcPr>
          <w:p w14:paraId="59B26916" w14:textId="77777777" w:rsidR="00A80038" w:rsidRDefault="00E95664">
            <w:pPr>
              <w:cnfStyle w:val="000000100000" w:firstRow="0" w:lastRow="0" w:firstColumn="0" w:lastColumn="0" w:oddVBand="0" w:evenVBand="0" w:oddHBand="1" w:evenHBand="0" w:firstRowFirstColumn="0" w:firstRowLastColumn="0" w:lastRowFirstColumn="0" w:lastRowLastColumn="0"/>
            </w:pPr>
            <w:r>
              <w:t>10-K disclosure became longer, more boilerplate, sticky and redundant.</w:t>
            </w:r>
          </w:p>
        </w:tc>
        <w:tc>
          <w:tcPr>
            <w:tcW w:w="2484" w:type="dxa"/>
          </w:tcPr>
          <w:p w14:paraId="2C7654F3" w14:textId="77777777" w:rsidR="00A80038" w:rsidRDefault="00E95664">
            <w:pPr>
              <w:cnfStyle w:val="000000100000" w:firstRow="0" w:lastRow="0" w:firstColumn="0" w:lastColumn="0" w:oddVBand="0" w:evenVBand="0" w:oddHBand="1" w:evenHBand="0" w:firstRowFirstColumn="0" w:firstRowLastColumn="0" w:lastRowFirstColumn="0" w:lastRowLastColumn="0"/>
            </w:pPr>
            <w:r>
              <w:t>Persistence is an established disclosure-quality construct.</w:t>
            </w:r>
          </w:p>
        </w:tc>
      </w:tr>
      <w:tr w:rsidR="00A80038" w14:paraId="24C7BBE6" w14:textId="77777777" w:rsidTr="00A80038">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3901665A" w14:textId="77777777" w:rsidR="00A80038" w:rsidRDefault="00E95664">
            <w:r>
              <w:t>Novelty × sentiment in Japan</w:t>
            </w:r>
          </w:p>
        </w:tc>
        <w:tc>
          <w:tcPr>
            <w:tcW w:w="2484" w:type="dxa"/>
          </w:tcPr>
          <w:p w14:paraId="05C06523" w14:textId="77777777" w:rsidR="00A80038" w:rsidRDefault="00E95664">
            <w:pPr>
              <w:cnfStyle w:val="000000000000" w:firstRow="0" w:lastRow="0" w:firstColumn="0" w:lastColumn="0" w:oddVBand="0" w:evenVBand="0" w:oddHBand="0" w:evenHBand="0" w:firstRowFirstColumn="0" w:firstRowLastColumn="0" w:lastRowFirstColumn="0" w:lastRowLastColumn="0"/>
            </w:pPr>
            <w:r>
              <w:t>Nakatsuka &amp; Suimon (2026), Economics Letters</w:t>
            </w:r>
          </w:p>
        </w:tc>
        <w:tc>
          <w:tcPr>
            <w:tcW w:w="2484" w:type="dxa"/>
          </w:tcPr>
          <w:p w14:paraId="40F4AC68" w14:textId="77777777" w:rsidR="00A80038" w:rsidRDefault="00E95664">
            <w:pPr>
              <w:cnfStyle w:val="000000000000" w:firstRow="0" w:lastRow="0" w:firstColumn="0" w:lastColumn="0" w:oddVBand="0" w:evenVBand="0" w:oddHBand="0" w:evenHBand="0" w:firstRowFirstColumn="0" w:firstRowLastColumn="0" w:lastRowFirstColumn="0" w:lastRowLastColumn="0"/>
            </w:pPr>
            <w:r>
              <w:t>Sentence-BERT novelty plus financial-BERT sentiment: sentiment in novel Japanese briefing statements better explains post-event returns than sentiment in sticky statements.</w:t>
            </w:r>
          </w:p>
        </w:tc>
        <w:tc>
          <w:tcPr>
            <w:tcW w:w="2484" w:type="dxa"/>
          </w:tcPr>
          <w:p w14:paraId="0586F092" w14:textId="77777777" w:rsidR="00A80038" w:rsidRDefault="00E95664">
            <w:pPr>
              <w:cnfStyle w:val="000000000000" w:firstRow="0" w:lastRow="0" w:firstColumn="0" w:lastColumn="0" w:oddVBand="0" w:evenVBand="0" w:oddHBand="0" w:evenHBand="0" w:firstRowFirstColumn="0" w:firstRowLastColumn="0" w:lastRowFirstColumn="0" w:lastRowLastColumn="0"/>
            </w:pPr>
            <w:r>
              <w:t>Novel-versus-sticky sentiment in Japan is occupied.</w:t>
            </w:r>
          </w:p>
        </w:tc>
      </w:tr>
      <w:tr w:rsidR="00A80038" w14:paraId="2E65C4F8" w14:textId="77777777" w:rsidTr="00A80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1D803C80" w14:textId="77777777" w:rsidR="00A80038" w:rsidRDefault="00E95664">
            <w:r>
              <w:t>Method comparison</w:t>
            </w:r>
          </w:p>
        </w:tc>
        <w:tc>
          <w:tcPr>
            <w:tcW w:w="2484" w:type="dxa"/>
          </w:tcPr>
          <w:p w14:paraId="5B9DBB16" w14:textId="77777777" w:rsidR="00A80038" w:rsidRDefault="00E95664">
            <w:pPr>
              <w:cnfStyle w:val="000000100000" w:firstRow="0" w:lastRow="0" w:firstColumn="0" w:lastColumn="0" w:oddVBand="0" w:evenVBand="0" w:oddHBand="1" w:evenHBand="0" w:firstRowFirstColumn="0" w:firstRowLastColumn="0" w:lastRowFirstColumn="0" w:lastRowLastColumn="0"/>
            </w:pPr>
            <w:r>
              <w:t>Frankel, Jennings &amp; Lee (2022), Management Science</w:t>
            </w:r>
          </w:p>
        </w:tc>
        <w:tc>
          <w:tcPr>
            <w:tcW w:w="2484" w:type="dxa"/>
          </w:tcPr>
          <w:p w14:paraId="4D1F2ADC" w14:textId="77777777" w:rsidR="00A80038" w:rsidRDefault="00E95664">
            <w:pPr>
              <w:cnfStyle w:val="000000100000" w:firstRow="0" w:lastRow="0" w:firstColumn="0" w:lastColumn="0" w:oddVBand="0" w:evenVBand="0" w:oddHBand="1" w:evenHBand="0" w:firstRowFirstColumn="0" w:firstRowLastColumn="0" w:lastRowFirstColumn="0" w:lastRowLastColumn="0"/>
            </w:pPr>
            <w:r>
              <w:t>Returns can be used as an external criterion to compare dictionary and machine-learning sentiment; ML improves explanatory power in their setting.</w:t>
            </w:r>
          </w:p>
        </w:tc>
        <w:tc>
          <w:tcPr>
            <w:tcW w:w="2484" w:type="dxa"/>
          </w:tcPr>
          <w:p w14:paraId="3FBC1B07" w14:textId="77777777" w:rsidR="00A80038" w:rsidRDefault="00E95664">
            <w:pPr>
              <w:cnfStyle w:val="000000100000" w:firstRow="0" w:lastRow="0" w:firstColumn="0" w:lastColumn="0" w:oddVBand="0" w:evenVBand="0" w:oddHBand="1" w:evenHBand="0" w:firstRowFirstColumn="0" w:firstRowLastColumn="0" w:lastRowFirstColumn="0" w:lastRowLastColumn="0"/>
            </w:pPr>
            <w:r>
              <w:t>Model comparison alone is not new.</w:t>
            </w:r>
          </w:p>
        </w:tc>
      </w:tr>
      <w:tr w:rsidR="00A80038" w14:paraId="006B355A" w14:textId="77777777" w:rsidTr="00A80038">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11422760" w14:textId="77777777" w:rsidR="00A80038" w:rsidRDefault="00E95664">
            <w:r>
              <w:t>Long-text preprocessing × models</w:t>
            </w:r>
          </w:p>
        </w:tc>
        <w:tc>
          <w:tcPr>
            <w:tcW w:w="2484" w:type="dxa"/>
          </w:tcPr>
          <w:p w14:paraId="31ED5A14" w14:textId="77777777" w:rsidR="00A80038" w:rsidRDefault="00E95664">
            <w:pPr>
              <w:cnfStyle w:val="000000000000" w:firstRow="0" w:lastRow="0" w:firstColumn="0" w:lastColumn="0" w:oddVBand="0" w:evenVBand="0" w:oddHBand="0" w:evenHBand="0" w:firstRowFirstColumn="0" w:firstRowLastColumn="0" w:lastRowFirstColumn="0" w:lastRowLastColumn="0"/>
            </w:pPr>
            <w:r>
              <w:t>Chiu &amp; Hung (2025), Pacific-Basin Finance Journal</w:t>
            </w:r>
          </w:p>
        </w:tc>
        <w:tc>
          <w:tcPr>
            <w:tcW w:w="2484" w:type="dxa"/>
          </w:tcPr>
          <w:p w14:paraId="79A580B0" w14:textId="77777777" w:rsidR="00A80038" w:rsidRDefault="00E95664">
            <w:pPr>
              <w:cnfStyle w:val="000000000000" w:firstRow="0" w:lastRow="0" w:firstColumn="0" w:lastColumn="0" w:oddVBand="0" w:evenVBand="0" w:oddHBand="0" w:evenHBand="0" w:firstRowFirstColumn="0" w:firstRowLastColumn="0" w:lastRowFirstColumn="0" w:lastRowLastColumn="0"/>
            </w:pPr>
            <w:r>
              <w:t>Summarizing MD&amp;A before sentiment measurement changes performance; finance LLaMA-2 outperforms FinBERT/traditional methods in their setting.</w:t>
            </w:r>
          </w:p>
        </w:tc>
        <w:tc>
          <w:tcPr>
            <w:tcW w:w="2484" w:type="dxa"/>
          </w:tcPr>
          <w:p w14:paraId="5D46CE75" w14:textId="77777777" w:rsidR="00A80038" w:rsidRDefault="00E95664">
            <w:pPr>
              <w:cnfStyle w:val="000000000000" w:firstRow="0" w:lastRow="0" w:firstColumn="0" w:lastColumn="0" w:oddVBand="0" w:evenVBand="0" w:oddHBand="0" w:evenHBand="0" w:firstRowFirstColumn="0" w:firstRowLastColumn="0" w:lastRowFirstColumn="0" w:lastRowLastColumn="0"/>
            </w:pPr>
            <w:r>
              <w:t>Input construction can alter model ranking; conceptually adjacent to our mechanism.</w:t>
            </w:r>
          </w:p>
        </w:tc>
      </w:tr>
      <w:tr w:rsidR="00A80038" w14:paraId="710C587F" w14:textId="77777777" w:rsidTr="00A800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2BEA5ED1" w14:textId="77777777" w:rsidR="00A80038" w:rsidRDefault="00E95664">
            <w:r>
              <w:t>Japanese MD&amp;A × advanced models</w:t>
            </w:r>
          </w:p>
        </w:tc>
        <w:tc>
          <w:tcPr>
            <w:tcW w:w="2484" w:type="dxa"/>
          </w:tcPr>
          <w:p w14:paraId="59443657" w14:textId="77777777" w:rsidR="00A80038" w:rsidRDefault="00E95664">
            <w:pPr>
              <w:cnfStyle w:val="000000100000" w:firstRow="0" w:lastRow="0" w:firstColumn="0" w:lastColumn="0" w:oddVBand="0" w:evenVBand="0" w:oddHBand="1" w:evenHBand="0" w:firstRowFirstColumn="0" w:firstRowLastColumn="0" w:lastRowFirstColumn="0" w:lastRowLastColumn="0"/>
            </w:pPr>
            <w:r>
              <w:t>Okada et al. (2025), PeerJ Computer Science</w:t>
            </w:r>
          </w:p>
        </w:tc>
        <w:tc>
          <w:tcPr>
            <w:tcW w:w="2484" w:type="dxa"/>
          </w:tcPr>
          <w:p w14:paraId="28E598B6" w14:textId="77777777" w:rsidR="00A80038" w:rsidRDefault="00E95664">
            <w:pPr>
              <w:cnfStyle w:val="000000100000" w:firstRow="0" w:lastRow="0" w:firstColumn="0" w:lastColumn="0" w:oddVBand="0" w:evenVBand="0" w:oddHBand="1" w:evenHBand="0" w:firstRowFirstColumn="0" w:firstRowLastColumn="0" w:lastRowFirstColumn="0" w:lastRowLastColumn="0"/>
            </w:pPr>
            <w:r>
              <w:t>Japanese annual securities-report sentiment is compared across polarity dictionaries and advanced LLMs on a large 2014–2023 sample.</w:t>
            </w:r>
          </w:p>
        </w:tc>
        <w:tc>
          <w:tcPr>
            <w:tcW w:w="2484" w:type="dxa"/>
          </w:tcPr>
          <w:p w14:paraId="0B204BE5" w14:textId="77777777" w:rsidR="00A80038" w:rsidRDefault="00E95664">
            <w:pPr>
              <w:cnfStyle w:val="000000100000" w:firstRow="0" w:lastRow="0" w:firstColumn="0" w:lastColumn="0" w:oddVBand="0" w:evenVBand="0" w:oddHBand="1" w:evenHBand="0" w:firstRowFirstColumn="0" w:firstRowLastColumn="0" w:lastRowFirstColumn="0" w:lastRowLastColumn="0"/>
            </w:pPr>
            <w:r>
              <w:t>Japanese dictionary/BERT/LLM-style horse racing is not sufficient novelty.</w:t>
            </w:r>
          </w:p>
        </w:tc>
      </w:tr>
      <w:tr w:rsidR="00A80038" w14:paraId="13214E9B" w14:textId="77777777" w:rsidTr="00A80038">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01ABE4D8" w14:textId="77777777" w:rsidR="00A80038" w:rsidRDefault="00E95664">
            <w:r>
              <w:t>Novelty × sentiment outside filings</w:t>
            </w:r>
          </w:p>
        </w:tc>
        <w:tc>
          <w:tcPr>
            <w:tcW w:w="2484" w:type="dxa"/>
          </w:tcPr>
          <w:p w14:paraId="3A76EABE" w14:textId="77777777" w:rsidR="00A80038" w:rsidRDefault="00E95664">
            <w:pPr>
              <w:cnfStyle w:val="000000000000" w:firstRow="0" w:lastRow="0" w:firstColumn="0" w:lastColumn="0" w:oddVBand="0" w:evenVBand="0" w:oddHBand="0" w:evenHBand="0" w:firstRowFirstColumn="0" w:firstRowLastColumn="0" w:lastRowFirstColumn="0" w:lastRowLastColumn="0"/>
            </w:pPr>
            <w:r>
              <w:t>Glasserman &amp; Mamaysky (2019), JFQA</w:t>
            </w:r>
          </w:p>
        </w:tc>
        <w:tc>
          <w:tcPr>
            <w:tcW w:w="2484" w:type="dxa"/>
          </w:tcPr>
          <w:p w14:paraId="7F183E4F" w14:textId="77777777" w:rsidR="00A80038" w:rsidRDefault="00E95664">
            <w:pPr>
              <w:cnfStyle w:val="000000000000" w:firstRow="0" w:lastRow="0" w:firstColumn="0" w:lastColumn="0" w:oddVBand="0" w:evenVBand="0" w:oddHBand="0" w:evenHBand="0" w:firstRowFirstColumn="0" w:firstRowLastColumn="0" w:lastRowFirstColumn="0" w:lastRowLastColumn="0"/>
            </w:pPr>
            <w:r>
              <w:t>Unusualness interacted with sentiment contains incremental information for future market volatility.</w:t>
            </w:r>
          </w:p>
        </w:tc>
        <w:tc>
          <w:tcPr>
            <w:tcW w:w="2484" w:type="dxa"/>
          </w:tcPr>
          <w:p w14:paraId="601B51E3" w14:textId="77777777" w:rsidR="00A80038" w:rsidRDefault="00E95664">
            <w:pPr>
              <w:cnfStyle w:val="000000000000" w:firstRow="0" w:lastRow="0" w:firstColumn="0" w:lastColumn="0" w:oddVBand="0" w:evenVBand="0" w:oddHBand="0" w:evenHBand="0" w:firstRowFirstColumn="0" w:firstRowLastColumn="0" w:lastRowFirstColumn="0" w:lastRowLastColumn="0"/>
            </w:pPr>
            <w:r>
              <w:t>Do not claim that novelty–sentiment interaction itself is new.</w:t>
            </w:r>
          </w:p>
        </w:tc>
      </w:tr>
    </w:tbl>
    <w:p w14:paraId="7FD13B50" w14:textId="77777777" w:rsidR="00A80038" w:rsidRDefault="00E95664">
      <w:pPr>
        <w:pStyle w:val="Heading1"/>
      </w:pPr>
      <w:r>
        <w:lastRenderedPageBreak/>
        <w:t>4. The Closest Japanese Papers</w:t>
      </w:r>
    </w:p>
    <w:p w14:paraId="18DD764F" w14:textId="77777777" w:rsidR="00A80038" w:rsidRDefault="00E95664">
      <w:pPr>
        <w:pStyle w:val="Heading2"/>
      </w:pPr>
      <w:r>
        <w:t>4.1 Nakatsuka &amp; Suimon (2026)</w:t>
      </w:r>
    </w:p>
    <w:p w14:paraId="03106D20" w14:textId="77777777" w:rsidR="00A80038" w:rsidRDefault="00E95664">
      <w:r>
        <w:t>They study Japanese financial-results briefings, not mandatory annual securities reports. Novelty is measured semantically at the sentence level using Sentence-BERT similarity to prior disclosures. Statements are divided into four similarity quartiles from highly similar to highly dissimilar; the high-similarity end is 'sticky' and the low-similarity end 'novel'. They estimate sentiment within these groups using a fine-tuned Japanese financial BERT and find that novel-statement sentiment has stronger explan</w:t>
      </w:r>
      <w:r>
        <w:t>atory power for post-event returns.</w:t>
      </w:r>
    </w:p>
    <w:p w14:paraId="28370F7C" w14:textId="77777777" w:rsidR="00A80038" w:rsidRDefault="00E95664">
      <w:r>
        <w:rPr>
          <w:b/>
        </w:rPr>
        <w:t xml:space="preserve">What they leave open: </w:t>
      </w:r>
      <w:r>
        <w:t>they do not make the relative performance of lexical, discriminative-contextual, and generative sentiment technologies conditional on textual novelty. Their principal variation is in information novelty while the sentiment technology is essentially held fixed.</w:t>
      </w:r>
    </w:p>
    <w:p w14:paraId="6359DDFD" w14:textId="77777777" w:rsidR="00A80038" w:rsidRDefault="00E95664">
      <w:pPr>
        <w:pStyle w:val="Heading2"/>
      </w:pPr>
      <w:r>
        <w:t>4.2 Okada et al. (2025)</w:t>
      </w:r>
    </w:p>
    <w:p w14:paraId="09A630DE" w14:textId="77777777" w:rsidR="00A80038" w:rsidRDefault="00E95664">
      <w:r>
        <w:t>This paper is a direct warning against positioning Paper 2 as the first broad advanced-model comparison on Japanese annual filings. It analyzes Japanese annual securities reports over 2014–2023 and uses advanced LLMs including ChatGPT, Claude and Gemini alongside polarity-dictionary approaches to generate sentiment signals and examine subsequent returns.</w:t>
      </w:r>
    </w:p>
    <w:p w14:paraId="47AD7516" w14:textId="77777777" w:rsidR="00A80038" w:rsidRDefault="00E95664">
      <w:r>
        <w:rPr>
          <w:b/>
        </w:rPr>
        <w:t xml:space="preserve">What they leave open: </w:t>
      </w:r>
      <w:r>
        <w:t>their model comparison is not organized around year-over-year textual novelty. The missing experiment is whether the relative value of the competing sentiment technologies changes when the same filing is decomposed into persistent versus informationally novel language.</w:t>
      </w:r>
    </w:p>
    <w:p w14:paraId="6471AEEC" w14:textId="77777777" w:rsidR="00A80038" w:rsidRDefault="00E95664">
      <w:pPr>
        <w:pStyle w:val="Heading2"/>
      </w:pPr>
      <w:r>
        <w:t>4.3 The emerging Japanese 'Lazy Prices' evidence</w:t>
      </w:r>
    </w:p>
    <w:p w14:paraId="78507D15" w14:textId="77777777" w:rsidR="00A80038" w:rsidRDefault="00E95664">
      <w:r>
        <w:t>A 2026 Japanese conference study by the Okada research group examines year-over-year changes in Japanese annual-report MD&amp;A and asks whether a Japanese analogue of Lazy Prices holds. The key conceptual implication for this proposal is that the amount of textual change and the direction/content of change are distinct objects. This reinforces the case for moving beyond a pure similarity measure toward measurement of what changed and what that changed language means.</w:t>
      </w:r>
    </w:p>
    <w:p w14:paraId="42DB774E" w14:textId="77777777" w:rsidR="00A80038" w:rsidRDefault="00E95664">
      <w:pPr>
        <w:pStyle w:val="Heading1"/>
      </w:pPr>
      <w:r>
        <w:t>5. Research-Gap Stress Test</w:t>
      </w:r>
    </w:p>
    <w:tbl>
      <w:tblPr>
        <w:tblStyle w:val="LightShading-Accent1"/>
        <w:tblW w:w="0" w:type="auto"/>
        <w:tblLook w:val="04A0" w:firstRow="1" w:lastRow="0" w:firstColumn="1" w:lastColumn="0" w:noHBand="0" w:noVBand="1"/>
      </w:tblPr>
      <w:tblGrid>
        <w:gridCol w:w="3312"/>
        <w:gridCol w:w="3312"/>
        <w:gridCol w:w="3312"/>
      </w:tblGrid>
      <w:tr w:rsidR="00A80038" w14:paraId="2B2FC3EF" w14:textId="77777777" w:rsidTr="00A800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7CBBBB" w14:textId="77777777" w:rsidR="00A80038" w:rsidRDefault="00E95664">
            <w:r>
              <w:t>Candidate claim</w:t>
            </w:r>
          </w:p>
        </w:tc>
        <w:tc>
          <w:tcPr>
            <w:tcW w:w="3312" w:type="dxa"/>
          </w:tcPr>
          <w:p w14:paraId="643AF150" w14:textId="77777777" w:rsidR="00A80038" w:rsidRDefault="00E95664">
            <w:pPr>
              <w:cnfStyle w:val="100000000000" w:firstRow="1" w:lastRow="0" w:firstColumn="0" w:lastColumn="0" w:oddVBand="0" w:evenVBand="0" w:oddHBand="0" w:evenHBand="0" w:firstRowFirstColumn="0" w:firstRowLastColumn="0" w:lastRowFirstColumn="0" w:lastRowLastColumn="0"/>
            </w:pPr>
            <w:r>
              <w:t>Status</w:t>
            </w:r>
          </w:p>
        </w:tc>
        <w:tc>
          <w:tcPr>
            <w:tcW w:w="3312" w:type="dxa"/>
          </w:tcPr>
          <w:p w14:paraId="444877FB" w14:textId="77777777" w:rsidR="00A80038" w:rsidRDefault="00E95664">
            <w:pPr>
              <w:cnfStyle w:val="100000000000" w:firstRow="1" w:lastRow="0" w:firstColumn="0" w:lastColumn="0" w:oddVBand="0" w:evenVBand="0" w:oddHBand="0" w:evenHBand="0" w:firstRowFirstColumn="0" w:firstRowLastColumn="0" w:lastRowFirstColumn="0" w:lastRowLastColumn="0"/>
            </w:pPr>
            <w:r>
              <w:t>Assessment</w:t>
            </w:r>
          </w:p>
        </w:tc>
      </w:tr>
      <w:tr w:rsidR="00A80038" w14:paraId="16CE20CA"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7C62F1" w14:textId="77777777" w:rsidR="00A80038" w:rsidRDefault="00E95664">
            <w:r>
              <w:t>Japanese MD&amp;A textual similarity</w:t>
            </w:r>
          </w:p>
        </w:tc>
        <w:tc>
          <w:tcPr>
            <w:tcW w:w="3312" w:type="dxa"/>
          </w:tcPr>
          <w:p w14:paraId="58EC9D74" w14:textId="77777777" w:rsidR="00A80038" w:rsidRDefault="00E95664">
            <w:pPr>
              <w:cnfStyle w:val="000000100000" w:firstRow="0" w:lastRow="0" w:firstColumn="0" w:lastColumn="0" w:oddVBand="0" w:evenVBand="0" w:oddHBand="1" w:evenHBand="0" w:firstRowFirstColumn="0" w:firstRowLastColumn="0" w:lastRowFirstColumn="0" w:lastRowLastColumn="0"/>
            </w:pPr>
            <w:r>
              <w:t>RED</w:t>
            </w:r>
          </w:p>
        </w:tc>
        <w:tc>
          <w:tcPr>
            <w:tcW w:w="3312" w:type="dxa"/>
          </w:tcPr>
          <w:p w14:paraId="0861462F" w14:textId="77777777" w:rsidR="00A80038" w:rsidRDefault="00E95664">
            <w:pPr>
              <w:cnfStyle w:val="000000100000" w:firstRow="0" w:lastRow="0" w:firstColumn="0" w:lastColumn="0" w:oddVBand="0" w:evenVBand="0" w:oddHBand="1" w:evenHBand="0" w:firstRowFirstColumn="0" w:firstRowLastColumn="0" w:lastRowFirstColumn="0" w:lastRowLastColumn="0"/>
            </w:pPr>
            <w:r>
              <w:t>Already directly studied; useful control/replication, not contribution.</w:t>
            </w:r>
          </w:p>
        </w:tc>
      </w:tr>
      <w:tr w:rsidR="00A80038" w14:paraId="320F53E1" w14:textId="77777777" w:rsidTr="00A80038">
        <w:tc>
          <w:tcPr>
            <w:cnfStyle w:val="001000000000" w:firstRow="0" w:lastRow="0" w:firstColumn="1" w:lastColumn="0" w:oddVBand="0" w:evenVBand="0" w:oddHBand="0" w:evenHBand="0" w:firstRowFirstColumn="0" w:firstRowLastColumn="0" w:lastRowFirstColumn="0" w:lastRowLastColumn="0"/>
            <w:tcW w:w="3312" w:type="dxa"/>
          </w:tcPr>
          <w:p w14:paraId="7CCCA332" w14:textId="77777777" w:rsidR="00A80038" w:rsidRDefault="00E95664">
            <w:r>
              <w:t>Δ sentiment predicts returns</w:t>
            </w:r>
          </w:p>
        </w:tc>
        <w:tc>
          <w:tcPr>
            <w:tcW w:w="3312" w:type="dxa"/>
          </w:tcPr>
          <w:p w14:paraId="519DAFBF" w14:textId="77777777" w:rsidR="00A80038" w:rsidRDefault="00E95664">
            <w:pPr>
              <w:cnfStyle w:val="000000000000" w:firstRow="0" w:lastRow="0" w:firstColumn="0" w:lastColumn="0" w:oddVBand="0" w:evenVBand="0" w:oddHBand="0" w:evenHBand="0" w:firstRowFirstColumn="0" w:firstRowLastColumn="0" w:lastRowFirstColumn="0" w:lastRowLastColumn="0"/>
            </w:pPr>
            <w:r>
              <w:t>RED</w:t>
            </w:r>
          </w:p>
        </w:tc>
        <w:tc>
          <w:tcPr>
            <w:tcW w:w="3312" w:type="dxa"/>
          </w:tcPr>
          <w:p w14:paraId="296C1285" w14:textId="77777777" w:rsidR="00A80038" w:rsidRDefault="00E95664">
            <w:pPr>
              <w:cnfStyle w:val="000000000000" w:firstRow="0" w:lastRow="0" w:firstColumn="0" w:lastColumn="0" w:oddVBand="0" w:evenVBand="0" w:oddHBand="0" w:evenHBand="0" w:firstRowFirstColumn="0" w:firstRowLastColumn="0" w:lastRowFirstColumn="0" w:lastRowLastColumn="0"/>
            </w:pPr>
            <w:r>
              <w:t>Established internationally by Feldman et al.</w:t>
            </w:r>
          </w:p>
        </w:tc>
      </w:tr>
      <w:tr w:rsidR="00A80038" w14:paraId="5A57D2EA"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11B73B" w14:textId="77777777" w:rsidR="00A80038" w:rsidRDefault="00E95664">
            <w:r>
              <w:t>Sentiment of novel text is more informative</w:t>
            </w:r>
          </w:p>
        </w:tc>
        <w:tc>
          <w:tcPr>
            <w:tcW w:w="3312" w:type="dxa"/>
          </w:tcPr>
          <w:p w14:paraId="6FAF19C3" w14:textId="77777777" w:rsidR="00A80038" w:rsidRDefault="00E95664">
            <w:pPr>
              <w:cnfStyle w:val="000000100000" w:firstRow="0" w:lastRow="0" w:firstColumn="0" w:lastColumn="0" w:oddVBand="0" w:evenVBand="0" w:oddHBand="1" w:evenHBand="0" w:firstRowFirstColumn="0" w:firstRowLastColumn="0" w:lastRowFirstColumn="0" w:lastRowLastColumn="0"/>
            </w:pPr>
            <w:r>
              <w:t>RED/YELLOW</w:t>
            </w:r>
          </w:p>
        </w:tc>
        <w:tc>
          <w:tcPr>
            <w:tcW w:w="3312" w:type="dxa"/>
          </w:tcPr>
          <w:p w14:paraId="2B7C4B0C" w14:textId="77777777" w:rsidR="00A80038" w:rsidRDefault="00E95664">
            <w:pPr>
              <w:cnfStyle w:val="000000100000" w:firstRow="0" w:lastRow="0" w:firstColumn="0" w:lastColumn="0" w:oddVBand="0" w:evenVBand="0" w:oddHBand="1" w:evenHBand="0" w:firstRowFirstColumn="0" w:firstRowLastColumn="0" w:lastRowFirstColumn="0" w:lastRowLastColumn="0"/>
            </w:pPr>
            <w:r>
              <w:t>Directly shown in Japanese briefings by Nakatsuka &amp; Suimon.</w:t>
            </w:r>
          </w:p>
        </w:tc>
      </w:tr>
      <w:tr w:rsidR="00A80038" w14:paraId="75E38C2B" w14:textId="77777777" w:rsidTr="00A80038">
        <w:tc>
          <w:tcPr>
            <w:cnfStyle w:val="001000000000" w:firstRow="0" w:lastRow="0" w:firstColumn="1" w:lastColumn="0" w:oddVBand="0" w:evenVBand="0" w:oddHBand="0" w:evenHBand="0" w:firstRowFirstColumn="0" w:firstRowLastColumn="0" w:lastRowFirstColumn="0" w:lastRowLastColumn="0"/>
            <w:tcW w:w="3312" w:type="dxa"/>
          </w:tcPr>
          <w:p w14:paraId="764346C0" w14:textId="77777777" w:rsidR="00A80038" w:rsidRDefault="00E95664">
            <w:r>
              <w:t>Dictionary vs contextual/LLM sentiment in Japanese annual filings</w:t>
            </w:r>
          </w:p>
        </w:tc>
        <w:tc>
          <w:tcPr>
            <w:tcW w:w="3312" w:type="dxa"/>
          </w:tcPr>
          <w:p w14:paraId="0DFE3B99" w14:textId="77777777" w:rsidR="00A80038" w:rsidRDefault="00E95664">
            <w:pPr>
              <w:cnfStyle w:val="000000000000" w:firstRow="0" w:lastRow="0" w:firstColumn="0" w:lastColumn="0" w:oddVBand="0" w:evenVBand="0" w:oddHBand="0" w:evenHBand="0" w:firstRowFirstColumn="0" w:firstRowLastColumn="0" w:lastRowFirstColumn="0" w:lastRowLastColumn="0"/>
            </w:pPr>
            <w:r>
              <w:t>RED</w:t>
            </w:r>
          </w:p>
        </w:tc>
        <w:tc>
          <w:tcPr>
            <w:tcW w:w="3312" w:type="dxa"/>
          </w:tcPr>
          <w:p w14:paraId="6D411C32" w14:textId="77777777" w:rsidR="00A80038" w:rsidRDefault="00E95664">
            <w:pPr>
              <w:cnfStyle w:val="000000000000" w:firstRow="0" w:lastRow="0" w:firstColumn="0" w:lastColumn="0" w:oddVBand="0" w:evenVBand="0" w:oddHBand="0" w:evenHBand="0" w:firstRowFirstColumn="0" w:firstRowLastColumn="0" w:lastRowFirstColumn="0" w:lastRowLastColumn="0"/>
            </w:pPr>
            <w:r>
              <w:t>Recent Japanese annual-report work already compares advanced sentiment approaches.</w:t>
            </w:r>
          </w:p>
        </w:tc>
      </w:tr>
      <w:tr w:rsidR="00A80038" w14:paraId="429197A0"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853DF1" w14:textId="77777777" w:rsidR="00A80038" w:rsidRDefault="00E95664">
            <w:r>
              <w:t>Novelty × sentiment</w:t>
            </w:r>
          </w:p>
        </w:tc>
        <w:tc>
          <w:tcPr>
            <w:tcW w:w="3312" w:type="dxa"/>
          </w:tcPr>
          <w:p w14:paraId="53A604D1" w14:textId="77777777" w:rsidR="00A80038" w:rsidRDefault="00E95664">
            <w:pPr>
              <w:cnfStyle w:val="000000100000" w:firstRow="0" w:lastRow="0" w:firstColumn="0" w:lastColumn="0" w:oddVBand="0" w:evenVBand="0" w:oddHBand="1" w:evenHBand="0" w:firstRowFirstColumn="0" w:firstRowLastColumn="0" w:lastRowFirstColumn="0" w:lastRowLastColumn="0"/>
            </w:pPr>
            <w:r>
              <w:t>YELLOW</w:t>
            </w:r>
          </w:p>
        </w:tc>
        <w:tc>
          <w:tcPr>
            <w:tcW w:w="3312" w:type="dxa"/>
          </w:tcPr>
          <w:p w14:paraId="23139D98" w14:textId="77777777" w:rsidR="00A80038" w:rsidRDefault="00E95664">
            <w:pPr>
              <w:cnfStyle w:val="000000100000" w:firstRow="0" w:lastRow="0" w:firstColumn="0" w:lastColumn="0" w:oddVBand="0" w:evenVBand="0" w:oddHBand="1" w:evenHBand="0" w:firstRowFirstColumn="0" w:firstRowLastColumn="0" w:lastRowFirstColumn="0" w:lastRowLastColumn="0"/>
            </w:pPr>
            <w:r>
              <w:t>Established conceptually in disclosure/news literatures; cannot be claimed broadly.</w:t>
            </w:r>
          </w:p>
        </w:tc>
      </w:tr>
      <w:tr w:rsidR="00A80038" w14:paraId="677D392B" w14:textId="77777777" w:rsidTr="00A80038">
        <w:tc>
          <w:tcPr>
            <w:cnfStyle w:val="001000000000" w:firstRow="0" w:lastRow="0" w:firstColumn="1" w:lastColumn="0" w:oddVBand="0" w:evenVBand="0" w:oddHBand="0" w:evenHBand="0" w:firstRowFirstColumn="0" w:firstRowLastColumn="0" w:lastRowFirstColumn="0" w:lastRowLastColumn="0"/>
            <w:tcW w:w="3312" w:type="dxa"/>
          </w:tcPr>
          <w:p w14:paraId="6672B2EF" w14:textId="77777777" w:rsidR="00A80038" w:rsidRDefault="00E95664">
            <w:r>
              <w:t>Input filtering changes model performance</w:t>
            </w:r>
          </w:p>
        </w:tc>
        <w:tc>
          <w:tcPr>
            <w:tcW w:w="3312" w:type="dxa"/>
          </w:tcPr>
          <w:p w14:paraId="5947648C" w14:textId="77777777" w:rsidR="00A80038" w:rsidRDefault="00E95664">
            <w:pPr>
              <w:cnfStyle w:val="000000000000" w:firstRow="0" w:lastRow="0" w:firstColumn="0" w:lastColumn="0" w:oddVBand="0" w:evenVBand="0" w:oddHBand="0" w:evenHBand="0" w:firstRowFirstColumn="0" w:firstRowLastColumn="0" w:lastRowFirstColumn="0" w:lastRowLastColumn="0"/>
            </w:pPr>
            <w:r>
              <w:t>YELLOW/GREEN</w:t>
            </w:r>
          </w:p>
        </w:tc>
        <w:tc>
          <w:tcPr>
            <w:tcW w:w="3312" w:type="dxa"/>
          </w:tcPr>
          <w:p w14:paraId="22E93404" w14:textId="77777777" w:rsidR="00A80038" w:rsidRDefault="00E95664">
            <w:pPr>
              <w:cnfStyle w:val="000000000000" w:firstRow="0" w:lastRow="0" w:firstColumn="0" w:lastColumn="0" w:oddVBand="0" w:evenVBand="0" w:oddHBand="0" w:evenHBand="0" w:firstRowFirstColumn="0" w:firstRowLastColumn="0" w:lastRowFirstColumn="0" w:lastRowLastColumn="0"/>
            </w:pPr>
            <w:r>
              <w:t>Chiu &amp; Hung show summarization changes performance; our economically grounded year-</w:t>
            </w:r>
            <w:r>
              <w:lastRenderedPageBreak/>
              <w:t>over-year filtering is distinct but adjacent.</w:t>
            </w:r>
          </w:p>
        </w:tc>
      </w:tr>
      <w:tr w:rsidR="00A80038" w14:paraId="3A158D98"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071DE8" w14:textId="77777777" w:rsidR="00A80038" w:rsidRDefault="00E95664">
            <w:r>
              <w:lastRenderedPageBreak/>
              <w:t>Model performance conditional on textual novelty</w:t>
            </w:r>
          </w:p>
        </w:tc>
        <w:tc>
          <w:tcPr>
            <w:tcW w:w="3312" w:type="dxa"/>
          </w:tcPr>
          <w:p w14:paraId="0E132DB8" w14:textId="77777777" w:rsidR="00A80038" w:rsidRDefault="00E95664">
            <w:pPr>
              <w:cnfStyle w:val="000000100000" w:firstRow="0" w:lastRow="0" w:firstColumn="0" w:lastColumn="0" w:oddVBand="0" w:evenVBand="0" w:oddHBand="1" w:evenHBand="0" w:firstRowFirstColumn="0" w:firstRowLastColumn="0" w:lastRowFirstColumn="0" w:lastRowLastColumn="0"/>
            </w:pPr>
            <w:r>
              <w:t>GREEN</w:t>
            </w:r>
          </w:p>
        </w:tc>
        <w:tc>
          <w:tcPr>
            <w:tcW w:w="3312" w:type="dxa"/>
          </w:tcPr>
          <w:p w14:paraId="10CD968E" w14:textId="77777777" w:rsidR="00A80038" w:rsidRDefault="00E95664">
            <w:pPr>
              <w:cnfStyle w:val="000000100000" w:firstRow="0" w:lastRow="0" w:firstColumn="0" w:lastColumn="0" w:oddVBand="0" w:evenVBand="0" w:oddHBand="1" w:evenHBand="0" w:firstRowFirstColumn="0" w:firstRowLastColumn="0" w:lastRowFirstColumn="0" w:lastRowLastColumn="0"/>
            </w:pPr>
            <w:r>
              <w:t>No direct paper identified in the second-pass audit.</w:t>
            </w:r>
          </w:p>
        </w:tc>
      </w:tr>
      <w:tr w:rsidR="00A80038" w14:paraId="71B81803" w14:textId="77777777" w:rsidTr="00A80038">
        <w:tc>
          <w:tcPr>
            <w:cnfStyle w:val="001000000000" w:firstRow="0" w:lastRow="0" w:firstColumn="1" w:lastColumn="0" w:oddVBand="0" w:evenVBand="0" w:oddHBand="0" w:evenHBand="0" w:firstRowFirstColumn="0" w:firstRowLastColumn="0" w:lastRowFirstColumn="0" w:lastRowLastColumn="0"/>
            <w:tcW w:w="3312" w:type="dxa"/>
          </w:tcPr>
          <w:p w14:paraId="67E5C90C" w14:textId="77777777" w:rsidR="00A80038" w:rsidRDefault="00E95664">
            <w:r>
              <w:t>Does isolating new information change the ranking of LMMD, financial BERT and GPT?</w:t>
            </w:r>
          </w:p>
        </w:tc>
        <w:tc>
          <w:tcPr>
            <w:tcW w:w="3312" w:type="dxa"/>
          </w:tcPr>
          <w:p w14:paraId="755EC07A" w14:textId="77777777" w:rsidR="00A80038" w:rsidRDefault="00E95664">
            <w:pPr>
              <w:cnfStyle w:val="000000000000" w:firstRow="0" w:lastRow="0" w:firstColumn="0" w:lastColumn="0" w:oddVBand="0" w:evenVBand="0" w:oddHBand="0" w:evenHBand="0" w:firstRowFirstColumn="0" w:firstRowLastColumn="0" w:lastRowFirstColumn="0" w:lastRowLastColumn="0"/>
            </w:pPr>
            <w:r>
              <w:t>GREEN</w:t>
            </w:r>
          </w:p>
        </w:tc>
        <w:tc>
          <w:tcPr>
            <w:tcW w:w="3312" w:type="dxa"/>
          </w:tcPr>
          <w:p w14:paraId="4F0AF078" w14:textId="77777777" w:rsidR="00A80038" w:rsidRDefault="00E95664">
            <w:pPr>
              <w:cnfStyle w:val="000000000000" w:firstRow="0" w:lastRow="0" w:firstColumn="0" w:lastColumn="0" w:oddVBand="0" w:evenVBand="0" w:oddHBand="0" w:evenHBand="0" w:firstRowFirstColumn="0" w:firstRowLastColumn="0" w:lastRowFirstColumn="0" w:lastRowLastColumn="0"/>
            </w:pPr>
            <w:r>
              <w:t>Strongest operational gap and clean bridge from Paper 1.</w:t>
            </w:r>
          </w:p>
        </w:tc>
      </w:tr>
      <w:tr w:rsidR="00A80038" w14:paraId="177DDE9D"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7E24EC" w14:textId="77777777" w:rsidR="00A80038" w:rsidRDefault="00E95664">
            <w:r>
              <w:t>Does contextual NLP add value specifically where context is informationally new?</w:t>
            </w:r>
          </w:p>
        </w:tc>
        <w:tc>
          <w:tcPr>
            <w:tcW w:w="3312" w:type="dxa"/>
          </w:tcPr>
          <w:p w14:paraId="085B5910" w14:textId="77777777" w:rsidR="00A80038" w:rsidRDefault="00E95664">
            <w:pPr>
              <w:cnfStyle w:val="000000100000" w:firstRow="0" w:lastRow="0" w:firstColumn="0" w:lastColumn="0" w:oddVBand="0" w:evenVBand="0" w:oddHBand="1" w:evenHBand="0" w:firstRowFirstColumn="0" w:firstRowLastColumn="0" w:lastRowFirstColumn="0" w:lastRowLastColumn="0"/>
            </w:pPr>
            <w:r>
              <w:t>GREEN</w:t>
            </w:r>
          </w:p>
        </w:tc>
        <w:tc>
          <w:tcPr>
            <w:tcW w:w="3312" w:type="dxa"/>
          </w:tcPr>
          <w:p w14:paraId="337480CC" w14:textId="77777777" w:rsidR="00A80038" w:rsidRDefault="00E95664">
            <w:pPr>
              <w:cnfStyle w:val="000000100000" w:firstRow="0" w:lastRow="0" w:firstColumn="0" w:lastColumn="0" w:oddVBand="0" w:evenVBand="0" w:oddHBand="1" w:evenHBand="0" w:firstRowFirstColumn="0" w:firstRowLastColumn="0" w:lastRowFirstColumn="0" w:lastRowLastColumn="0"/>
            </w:pPr>
            <w:r>
              <w:t>Strongest conceptual framing; falsifiable in either direction.</w:t>
            </w:r>
          </w:p>
        </w:tc>
      </w:tr>
    </w:tbl>
    <w:p w14:paraId="52D1F1F8" w14:textId="77777777" w:rsidR="00A80038" w:rsidRDefault="00E95664">
      <w:pPr>
        <w:pStyle w:val="Heading1"/>
      </w:pPr>
      <w:r>
        <w:t>6. Contribution Architecture</w:t>
      </w:r>
    </w:p>
    <w:p w14:paraId="16244E5D" w14:textId="7414B7FC" w:rsidR="00F92CE7" w:rsidRDefault="00F92CE7">
      <w:pPr>
        <w:rPr>
          <w:bCs/>
        </w:rPr>
      </w:pPr>
      <w:r w:rsidRPr="00F92CE7">
        <w:rPr>
          <w:b/>
          <w:bCs/>
        </w:rPr>
        <w:t>Contribution 1 — Explaining when contextual NLP adds value:</w:t>
      </w:r>
      <w:r w:rsidRPr="00F92CE7">
        <w:rPr>
          <w:b/>
        </w:rPr>
        <w:br/>
      </w:r>
      <w:r w:rsidRPr="00F92CE7">
        <w:rPr>
          <w:bCs/>
        </w:rPr>
        <w:t xml:space="preserve">The primary contribution is to identify conditions under which contextual language models provide incremental value over domain-specific lexical measurement in capturing market-relevant sentiment. By comparing lexical, discriminative-contextual, and generative methods across persistent and novel disclosure, the paper moves toward distinguishing among competing explanations for differences in model </w:t>
      </w:r>
      <w:r w:rsidRPr="00F92CE7">
        <w:rPr>
          <w:bCs/>
        </w:rPr>
        <w:t xml:space="preserve">performance, </w:t>
      </w:r>
      <w:r w:rsidRPr="00F92CE7">
        <w:rPr>
          <w:bCs/>
        </w:rPr>
        <w:t>including domain alignment, information dilution, task alignment, technology/implementation limitations, and signal-to-noise.</w:t>
      </w:r>
    </w:p>
    <w:p w14:paraId="3E31EB41" w14:textId="52D318E0" w:rsidR="00A80038" w:rsidRDefault="00E95664">
      <w:r w:rsidRPr="00F92CE7">
        <w:rPr>
          <w:b/>
        </w:rPr>
        <w:t>Contribution 2 — Economically grounded long-document filtering:</w:t>
      </w:r>
      <w:r w:rsidR="00F92CE7" w:rsidRPr="00F92CE7">
        <w:rPr>
          <w:b/>
        </w:rPr>
        <w:br/>
      </w:r>
      <w:r w:rsidRPr="00F92CE7">
        <w:rPr>
          <w:bCs/>
        </w:rPr>
        <w:t>Rather than using an AI summarizer to decide what matters, the paper uses the firm's own prior disclosure as the benchmark for what the market has already seen. This creates a transparent, economically motivated separation between persistent and new narrative information.</w:t>
      </w:r>
    </w:p>
    <w:p w14:paraId="1C1AF568" w14:textId="4DFB63BF" w:rsidR="00A80038" w:rsidRDefault="00E95664">
      <w:r>
        <w:rPr>
          <w:b/>
        </w:rPr>
        <w:t>Contribution 3 — Sentiment innovation as a complementary dimension:</w:t>
      </w:r>
      <w:r w:rsidR="00F92CE7">
        <w:rPr>
          <w:b/>
        </w:rPr>
        <w:br/>
      </w:r>
      <w:r>
        <w:t>The paper distinguishes linguistic innovation from tone innovation. A filing can be heavily rewritten without changing tone, or a small passage can change the economic message sharply. Jointly modeling textual novelty and Δ sentiment clarifies which form of innovation is associated with market reaction.</w:t>
      </w:r>
    </w:p>
    <w:p w14:paraId="5145539F" w14:textId="77777777" w:rsidR="00A80038" w:rsidRDefault="00E95664">
      <w:pPr>
        <w:pStyle w:val="Heading1"/>
      </w:pPr>
      <w:r>
        <w:t>7. Competing Hypotheses</w:t>
      </w:r>
    </w:p>
    <w:p w14:paraId="6BA5E77B" w14:textId="0D57A88A" w:rsidR="00A80038" w:rsidRDefault="00E95664">
      <w:r>
        <w:rPr>
          <w:b/>
        </w:rPr>
        <w:t xml:space="preserve">H1: Information-location hypothesis. </w:t>
      </w:r>
      <w:r>
        <w:t>Sentiment measured in novel</w:t>
      </w:r>
      <w:r w:rsidR="00F92CE7">
        <w:t xml:space="preserve"> or </w:t>
      </w:r>
      <w:r>
        <w:t>changed disclosure is more strongly associated with abnormal returns than sentiment measured in persistent disclosure.</w:t>
      </w:r>
    </w:p>
    <w:p w14:paraId="56AE4907" w14:textId="205B96F4" w:rsidR="00A80038" w:rsidRDefault="00E95664">
      <w:r>
        <w:rPr>
          <w:b/>
        </w:rPr>
        <w:t>H2</w:t>
      </w:r>
      <w:r w:rsidR="00F92CE7">
        <w:rPr>
          <w:b/>
        </w:rPr>
        <w:t>a</w:t>
      </w:r>
      <w:r>
        <w:rPr>
          <w:b/>
        </w:rPr>
        <w:t xml:space="preserve">: Contextual-advantage hypothesis. </w:t>
      </w:r>
      <w:r>
        <w:t xml:space="preserve">The incremental market relevance of contextual </w:t>
      </w:r>
      <w:r w:rsidR="00F92CE7">
        <w:t xml:space="preserve">sentiment </w:t>
      </w:r>
      <w:r>
        <w:t xml:space="preserve">models relative to </w:t>
      </w:r>
      <w:r w:rsidR="00F92CE7">
        <w:t>domain-specific lexical measure</w:t>
      </w:r>
      <w:r>
        <w:t xml:space="preserve"> increases </w:t>
      </w:r>
      <w:r w:rsidR="00F92CE7">
        <w:t>with</w:t>
      </w:r>
      <w:r>
        <w:t xml:space="preserve"> textual novelty</w:t>
      </w:r>
      <w:r>
        <w:t>.</w:t>
      </w:r>
    </w:p>
    <w:p w14:paraId="00E7DD63" w14:textId="77777777" w:rsidR="00D31352" w:rsidRDefault="00D31352">
      <w:r w:rsidRPr="00D31352">
        <w:rPr>
          <w:b/>
          <w:bCs/>
        </w:rPr>
        <w:t>Expected direction:</w:t>
      </w:r>
      <w:r w:rsidRPr="00D31352">
        <w:t xml:space="preserve"> the incremental market relevance of BERT/GPT relative to LMMD increases with textual novelty.</w:t>
      </w:r>
    </w:p>
    <w:p w14:paraId="1562AC93" w14:textId="3111549D" w:rsidR="00C26469" w:rsidRDefault="00F92CE7">
      <w:pPr>
        <w:rPr>
          <w:bCs/>
        </w:rPr>
      </w:pPr>
      <w:r>
        <w:rPr>
          <w:b/>
        </w:rPr>
        <w:t>H2b: Domain-alignment hypothesis.</w:t>
      </w:r>
      <w:r w:rsidRPr="00F92CE7">
        <w:rPr>
          <w:bCs/>
        </w:rPr>
        <w:t xml:space="preserve"> </w:t>
      </w:r>
      <w:r w:rsidRPr="00F92CE7">
        <w:rPr>
          <w:bCs/>
        </w:rPr>
        <w:t>A specialized financial dictionary remains as strongly or more strongly associated with market reactions than contextual models even when sentiment is measured exclusively on novel text.</w:t>
      </w:r>
    </w:p>
    <w:p w14:paraId="30956573" w14:textId="1FD9F97B" w:rsidR="00A80038" w:rsidRDefault="00E95664">
      <w:r>
        <w:rPr>
          <w:b/>
        </w:rPr>
        <w:t>H</w:t>
      </w:r>
      <w:r w:rsidR="00C26469">
        <w:rPr>
          <w:b/>
        </w:rPr>
        <w:t>3</w:t>
      </w:r>
      <w:r>
        <w:rPr>
          <w:b/>
        </w:rPr>
        <w:t xml:space="preserve">: Sentiment-innovation hypothesis. </w:t>
      </w:r>
      <w:r>
        <w:t xml:space="preserve">Year-over-year change in sentiment contains incremental information beyond the current sentiment level, </w:t>
      </w:r>
      <w:r w:rsidR="00C26469">
        <w:t>with</w:t>
      </w:r>
      <w:r>
        <w:t xml:space="preserve"> </w:t>
      </w:r>
      <w:r w:rsidR="00C26469">
        <w:t xml:space="preserve">the </w:t>
      </w:r>
      <w:r>
        <w:t xml:space="preserve">strongest </w:t>
      </w:r>
      <w:r w:rsidR="00C26469">
        <w:t>association occurring when sentiment change coincides with textual innovation</w:t>
      </w:r>
      <w:r>
        <w:t>.</w:t>
      </w:r>
    </w:p>
    <w:p w14:paraId="0BDD0FC7" w14:textId="77777777" w:rsidR="00D31352" w:rsidRDefault="00E95664" w:rsidP="00D31352">
      <w:r>
        <w:rPr>
          <w:b/>
        </w:rPr>
        <w:lastRenderedPageBreak/>
        <w:t>H</w:t>
      </w:r>
      <w:r w:rsidR="00C26469">
        <w:rPr>
          <w:b/>
        </w:rPr>
        <w:t>4</w:t>
      </w:r>
      <w:r>
        <w:rPr>
          <w:b/>
        </w:rPr>
        <w:t xml:space="preserve">: </w:t>
      </w:r>
      <w:r w:rsidR="00C26469" w:rsidRPr="00C26469">
        <w:rPr>
          <w:b/>
        </w:rPr>
        <w:t>Model-ranking hypothesis.</w:t>
      </w:r>
      <w:r>
        <w:rPr>
          <w:b/>
        </w:rPr>
        <w:t xml:space="preserve"> </w:t>
      </w:r>
      <w:r w:rsidR="00C26469" w:rsidRPr="00C26469">
        <w:t>The relative ranking of lexical, discriminative-contextual, and generative sentiment measures differ</w:t>
      </w:r>
      <w:r w:rsidR="00D21251">
        <w:t>s</w:t>
      </w:r>
      <w:r w:rsidR="00C26469" w:rsidRPr="00C26469">
        <w:t xml:space="preserve"> systematically across full, persistent, and novel </w:t>
      </w:r>
      <w:proofErr w:type="gramStart"/>
      <w:r w:rsidR="00C26469" w:rsidRPr="00C26469">
        <w:t>disclosure</w:t>
      </w:r>
      <w:proofErr w:type="gramEnd"/>
      <w:r w:rsidR="00C26469" w:rsidRPr="00C26469">
        <w:t>.</w:t>
      </w:r>
    </w:p>
    <w:p w14:paraId="6CA3A9CF" w14:textId="57B668BD" w:rsidR="00D21251" w:rsidRPr="00D31352" w:rsidRDefault="00D21251" w:rsidP="00D31352">
      <w:r w:rsidRPr="00D21251">
        <w:t>We expect the relative performance of contextual models to improve as we move from full disclosure to novel disclosure, with the weakest relative advantage on persistent text.</w:t>
      </w:r>
    </w:p>
    <w:p w14:paraId="33F71C25" w14:textId="042077E1" w:rsidR="00A80038" w:rsidRDefault="00E95664">
      <w:pPr>
        <w:pStyle w:val="Heading1"/>
      </w:pPr>
      <w:r>
        <w:t>8</w:t>
      </w:r>
      <w:r>
        <w:t>. The Core 3 × 4 Experimental Design</w:t>
      </w:r>
    </w:p>
    <w:p w14:paraId="29FF94E1" w14:textId="77777777" w:rsidR="00A80038" w:rsidRDefault="00E95664">
      <w:r>
        <w:rPr>
          <w:b/>
        </w:rPr>
        <w:t xml:space="preserve">The design should be symmetric: </w:t>
      </w:r>
      <w:r>
        <w:t>apply each sentiment technology to the same information partitions so that differences cannot be attributed simply to different inputs.</w:t>
      </w:r>
    </w:p>
    <w:tbl>
      <w:tblPr>
        <w:tblStyle w:val="LightShading-Accent1"/>
        <w:tblW w:w="0" w:type="auto"/>
        <w:tblLook w:val="04A0" w:firstRow="1" w:lastRow="0" w:firstColumn="1" w:lastColumn="0" w:noHBand="0" w:noVBand="1"/>
      </w:tblPr>
      <w:tblGrid>
        <w:gridCol w:w="2484"/>
        <w:gridCol w:w="2484"/>
        <w:gridCol w:w="2484"/>
        <w:gridCol w:w="2484"/>
      </w:tblGrid>
      <w:tr w:rsidR="00A80038" w14:paraId="07C2E02C" w14:textId="77777777" w:rsidTr="00A800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CFF429F" w14:textId="77777777" w:rsidR="00A80038" w:rsidRDefault="00E95664">
            <w:r>
              <w:t>Text input</w:t>
            </w:r>
          </w:p>
        </w:tc>
        <w:tc>
          <w:tcPr>
            <w:tcW w:w="2484" w:type="dxa"/>
          </w:tcPr>
          <w:p w14:paraId="77ABA127" w14:textId="77777777" w:rsidR="00A80038" w:rsidRDefault="00E95664">
            <w:pPr>
              <w:cnfStyle w:val="100000000000" w:firstRow="1" w:lastRow="0" w:firstColumn="0" w:lastColumn="0" w:oddVBand="0" w:evenVBand="0" w:oddHBand="0" w:evenHBand="0" w:firstRowFirstColumn="0" w:firstRowLastColumn="0" w:lastRowFirstColumn="0" w:lastRowLastColumn="0"/>
            </w:pPr>
            <w:r>
              <w:t>LMMD</w:t>
            </w:r>
          </w:p>
        </w:tc>
        <w:tc>
          <w:tcPr>
            <w:tcW w:w="2484" w:type="dxa"/>
          </w:tcPr>
          <w:p w14:paraId="0E525BBE" w14:textId="77777777" w:rsidR="00A80038" w:rsidRDefault="00E95664">
            <w:pPr>
              <w:cnfStyle w:val="100000000000" w:firstRow="1" w:lastRow="0" w:firstColumn="0" w:lastColumn="0" w:oddVBand="0" w:evenVBand="0" w:oddHBand="0" w:evenHBand="0" w:firstRowFirstColumn="0" w:firstRowLastColumn="0" w:lastRowFirstColumn="0" w:lastRowLastColumn="0"/>
            </w:pPr>
            <w:r>
              <w:t>Japanese Financial BERT</w:t>
            </w:r>
          </w:p>
        </w:tc>
        <w:tc>
          <w:tcPr>
            <w:tcW w:w="2484" w:type="dxa"/>
          </w:tcPr>
          <w:p w14:paraId="08964432" w14:textId="77777777" w:rsidR="00A80038" w:rsidRDefault="00E95664">
            <w:pPr>
              <w:cnfStyle w:val="100000000000" w:firstRow="1" w:lastRow="0" w:firstColumn="0" w:lastColumn="0" w:oddVBand="0" w:evenVBand="0" w:oddHBand="0" w:evenHBand="0" w:firstRowFirstColumn="0" w:firstRowLastColumn="0" w:lastRowFirstColumn="0" w:lastRowLastColumn="0"/>
            </w:pPr>
            <w:r>
              <w:t>GPT</w:t>
            </w:r>
          </w:p>
        </w:tc>
      </w:tr>
      <w:tr w:rsidR="00A80038" w14:paraId="41BDE9AA"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A1EBFB1" w14:textId="77777777" w:rsidR="00A80038" w:rsidRDefault="00E95664">
            <w:r>
              <w:t>Full disclosure</w:t>
            </w:r>
          </w:p>
        </w:tc>
        <w:tc>
          <w:tcPr>
            <w:tcW w:w="2484" w:type="dxa"/>
          </w:tcPr>
          <w:p w14:paraId="68ACBC9E"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c>
          <w:tcPr>
            <w:tcW w:w="2484" w:type="dxa"/>
          </w:tcPr>
          <w:p w14:paraId="45CCF900"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c>
          <w:tcPr>
            <w:tcW w:w="2484" w:type="dxa"/>
          </w:tcPr>
          <w:p w14:paraId="63795BA6"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r>
      <w:tr w:rsidR="00A80038" w14:paraId="7349C5A7" w14:textId="77777777" w:rsidTr="00A80038">
        <w:tc>
          <w:tcPr>
            <w:cnfStyle w:val="001000000000" w:firstRow="0" w:lastRow="0" w:firstColumn="1" w:lastColumn="0" w:oddVBand="0" w:evenVBand="0" w:oddHBand="0" w:evenHBand="0" w:firstRowFirstColumn="0" w:firstRowLastColumn="0" w:lastRowFirstColumn="0" w:lastRowLastColumn="0"/>
            <w:tcW w:w="2484" w:type="dxa"/>
          </w:tcPr>
          <w:p w14:paraId="2DB9E9FD" w14:textId="77777777" w:rsidR="00A80038" w:rsidRDefault="00E95664">
            <w:r>
              <w:t>Persistent / high-similarity text</w:t>
            </w:r>
          </w:p>
        </w:tc>
        <w:tc>
          <w:tcPr>
            <w:tcW w:w="2484" w:type="dxa"/>
          </w:tcPr>
          <w:p w14:paraId="50525079"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c>
          <w:tcPr>
            <w:tcW w:w="2484" w:type="dxa"/>
          </w:tcPr>
          <w:p w14:paraId="00E60954"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c>
          <w:tcPr>
            <w:tcW w:w="2484" w:type="dxa"/>
          </w:tcPr>
          <w:p w14:paraId="1400870D"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r>
      <w:tr w:rsidR="00A80038" w14:paraId="7C17D403" w14:textId="77777777" w:rsidTr="00A8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0308B64" w14:textId="77777777" w:rsidR="00A80038" w:rsidRDefault="00E95664">
            <w:r>
              <w:t>Novel / low-similarity text</w:t>
            </w:r>
          </w:p>
        </w:tc>
        <w:tc>
          <w:tcPr>
            <w:tcW w:w="2484" w:type="dxa"/>
          </w:tcPr>
          <w:p w14:paraId="11607D55"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c>
          <w:tcPr>
            <w:tcW w:w="2484" w:type="dxa"/>
          </w:tcPr>
          <w:p w14:paraId="3DB4DF0D"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c>
          <w:tcPr>
            <w:tcW w:w="2484" w:type="dxa"/>
          </w:tcPr>
          <w:p w14:paraId="5EDDBFE6" w14:textId="77777777" w:rsidR="00A80038" w:rsidRDefault="00E95664">
            <w:pPr>
              <w:cnfStyle w:val="000000100000" w:firstRow="0" w:lastRow="0" w:firstColumn="0" w:lastColumn="0" w:oddVBand="0" w:evenVBand="0" w:oddHBand="1" w:evenHBand="0" w:firstRowFirstColumn="0" w:firstRowLastColumn="0" w:lastRowFirstColumn="0" w:lastRowLastColumn="0"/>
            </w:pPr>
            <w:r>
              <w:t>✓</w:t>
            </w:r>
          </w:p>
        </w:tc>
      </w:tr>
      <w:tr w:rsidR="00A80038" w14:paraId="42006D07" w14:textId="77777777" w:rsidTr="00A80038">
        <w:tc>
          <w:tcPr>
            <w:cnfStyle w:val="001000000000" w:firstRow="0" w:lastRow="0" w:firstColumn="1" w:lastColumn="0" w:oddVBand="0" w:evenVBand="0" w:oddHBand="0" w:evenHBand="0" w:firstRowFirstColumn="0" w:firstRowLastColumn="0" w:lastRowFirstColumn="0" w:lastRowLastColumn="0"/>
            <w:tcW w:w="2484" w:type="dxa"/>
          </w:tcPr>
          <w:p w14:paraId="392D61CA" w14:textId="77777777" w:rsidR="00A80038" w:rsidRDefault="00E95664">
            <w:r>
              <w:t>Year-over-year Δ sentiment</w:t>
            </w:r>
          </w:p>
        </w:tc>
        <w:tc>
          <w:tcPr>
            <w:tcW w:w="2484" w:type="dxa"/>
          </w:tcPr>
          <w:p w14:paraId="1D0D4F09"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c>
          <w:tcPr>
            <w:tcW w:w="2484" w:type="dxa"/>
          </w:tcPr>
          <w:p w14:paraId="229DDF24"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c>
          <w:tcPr>
            <w:tcW w:w="2484" w:type="dxa"/>
          </w:tcPr>
          <w:p w14:paraId="1D863DE0" w14:textId="77777777" w:rsidR="00A80038" w:rsidRDefault="00E95664">
            <w:pPr>
              <w:cnfStyle w:val="000000000000" w:firstRow="0" w:lastRow="0" w:firstColumn="0" w:lastColumn="0" w:oddVBand="0" w:evenVBand="0" w:oddHBand="0" w:evenHBand="0" w:firstRowFirstColumn="0" w:firstRowLastColumn="0" w:lastRowFirstColumn="0" w:lastRowLastColumn="0"/>
            </w:pPr>
            <w:r>
              <w:t>✓</w:t>
            </w:r>
          </w:p>
        </w:tc>
      </w:tr>
    </w:tbl>
    <w:p w14:paraId="2563774B" w14:textId="77777777" w:rsidR="00A80038" w:rsidRDefault="00E95664">
      <w:r>
        <w:rPr>
          <w:b/>
        </w:rPr>
        <w:t xml:space="preserve">The key estimand is not simply βGPT &gt; βLMMD. </w:t>
      </w:r>
      <w:r>
        <w:t>It is whether the GPT-versus-LMMD (and BERT-versus-LMMD) difference is larger on novel text than on persistent text. That interaction is the empirical embodiment of the paper's central question.</w:t>
      </w:r>
    </w:p>
    <w:p w14:paraId="73E4323D" w14:textId="77777777" w:rsidR="00A80038" w:rsidRDefault="00E95664">
      <w:pPr>
        <w:pStyle w:val="Heading1"/>
      </w:pPr>
      <w:r>
        <w:t>9. BERT Benchmark</w:t>
      </w:r>
    </w:p>
    <w:p w14:paraId="14683EA1" w14:textId="77777777" w:rsidR="00A80038" w:rsidRDefault="00E95664">
      <w:r>
        <w:t>Use one defensible Japanese financial BERT rather than a model zoo. Suzuki, Sakaji, Hirano &amp; Izumi (2023) provide a natural benchmark because their Japanese financial language models are domain-adapted on financial-results summaries and securities reports. A sentiment classifier based on this family, with a transparent Japanese financial sentiment fine-tuning procedure such as chABSA where appropriate, gives the paper a contextual/discriminative midpoint between LMMD and GPT.</w:t>
      </w:r>
    </w:p>
    <w:p w14:paraId="7E3772B0" w14:textId="77777777" w:rsidR="00A80038" w:rsidRDefault="00E95664">
      <w:r>
        <w:rPr>
          <w:b/>
        </w:rPr>
        <w:t xml:space="preserve">Interpretation hierarchy: </w:t>
      </w:r>
      <w:r>
        <w:t>LMMD = lexical/domain knowledge; Financial BERT = contextual/domain representation; GPT = generative contextual reasoning.</w:t>
      </w:r>
    </w:p>
    <w:p w14:paraId="3037BFBA" w14:textId="77777777" w:rsidR="00A80038" w:rsidRDefault="00E95664">
      <w:r>
        <w:rPr>
          <w:b/>
        </w:rPr>
        <w:t xml:space="preserve">Validation criterion: </w:t>
      </w:r>
      <w:r>
        <w:t>classification accuracy is secondary. Following the finance disclosure literature, the primary external criterion is association with the market response, subject to careful language that this measures market-relevant sentiment rather than 'true' sentiment.</w:t>
      </w:r>
    </w:p>
    <w:p w14:paraId="65C30AB9" w14:textId="77777777" w:rsidR="00A80038" w:rsidRDefault="00E95664">
      <w:pPr>
        <w:pStyle w:val="Heading1"/>
      </w:pPr>
      <w:r>
        <w:t>10. Empirical Implementation</w:t>
      </w:r>
    </w:p>
    <w:p w14:paraId="067F5857" w14:textId="77777777" w:rsidR="00A80038" w:rsidRDefault="00E95664">
      <w:r>
        <w:rPr>
          <w:b/>
        </w:rPr>
        <w:t xml:space="preserve">Sample. </w:t>
      </w:r>
      <w:r>
        <w:t>Consecutive Japanese annual securities reports (</w:t>
      </w:r>
      <w:r>
        <w:t>有価証券報告書</w:t>
      </w:r>
      <w:r>
        <w:t>), preserving the same core narrative section used in Paper 1 where feasible.</w:t>
      </w:r>
    </w:p>
    <w:p w14:paraId="5E6CC21E" w14:textId="77777777" w:rsidR="00A80038" w:rsidRDefault="00E95664">
      <w:r>
        <w:rPr>
          <w:b/>
        </w:rPr>
        <w:t xml:space="preserve">Novelty construction. </w:t>
      </w:r>
      <w:r>
        <w:t>Match each firm-year to the prior-year disclosure. Use a transparent baseline similarity measure and a sentence-level semantic measure. Prefer continuous novelty in the main tests; use quartile or threshold partitions for interpretation and robustness.</w:t>
      </w:r>
    </w:p>
    <w:p w14:paraId="0D5FE1CD" w14:textId="77777777" w:rsidR="00A80038" w:rsidRDefault="00E95664">
      <w:r>
        <w:rPr>
          <w:b/>
        </w:rPr>
        <w:lastRenderedPageBreak/>
        <w:t xml:space="preserve">Text partitions. </w:t>
      </w:r>
      <w:r>
        <w:t>Construct persistent/high-similarity and novel/low-similarity sentence or passage sets. Preserve enough local context around changed sentences to avoid creating semantically mutilated fragments.</w:t>
      </w:r>
    </w:p>
    <w:p w14:paraId="32663457" w14:textId="77777777" w:rsidR="00A80038" w:rsidRDefault="00E95664">
      <w:r>
        <w:rPr>
          <w:b/>
        </w:rPr>
        <w:t xml:space="preserve">Sentiment. </w:t>
      </w:r>
      <w:r>
        <w:t>Compute comparable LMMD, Financial BERT and GPT scores on full, persistent and novel text. Compute method-specific Δ sentiment from consecutive firm-years.</w:t>
      </w:r>
    </w:p>
    <w:p w14:paraId="15F2B04B" w14:textId="77777777" w:rsidR="00A80038" w:rsidRDefault="00E95664">
      <w:r>
        <w:rPr>
          <w:b/>
        </w:rPr>
        <w:t xml:space="preserve">Market outcome. </w:t>
      </w:r>
      <w:r>
        <w:t>Use Paper 1's event-study framework for filing-window abnormal returns, while explicitly addressing information that may have been released earlier through earnings announcements or briefings.</w:t>
      </w:r>
    </w:p>
    <w:p w14:paraId="1A61FA0D" w14:textId="77777777" w:rsidR="00A80038" w:rsidRDefault="00E95664">
      <w:r>
        <w:rPr>
          <w:b/>
        </w:rPr>
        <w:t xml:space="preserve">Controls. </w:t>
      </w:r>
      <w:r>
        <w:t>Retain accounting and disclosure controls from Paper 1; add pure textual novelty so that novel-text sentiment is not merely proxying for the amount of rewriting.</w:t>
      </w:r>
    </w:p>
    <w:p w14:paraId="3BC27F2B" w14:textId="77777777" w:rsidR="00A80038" w:rsidRDefault="00E95664">
      <w:r>
        <w:rPr>
          <w:b/>
        </w:rPr>
        <w:t xml:space="preserve">Inference. </w:t>
      </w:r>
      <w:r>
        <w:t>Test coefficient differences directly rather than comparing significance stars. Cluster standard errors appropriately and pre-specify the principal interaction tests.</w:t>
      </w:r>
    </w:p>
    <w:p w14:paraId="2F95622C" w14:textId="77777777" w:rsidR="00A80038" w:rsidRDefault="00E95664">
      <w:pPr>
        <w:pStyle w:val="Heading1"/>
      </w:pPr>
      <w:r>
        <w:t>11. Baseline Regression Family</w:t>
      </w:r>
    </w:p>
    <w:p w14:paraId="10E40BC0" w14:textId="77777777" w:rsidR="00A80038" w:rsidRDefault="00E95664">
      <w:pPr>
        <w:pStyle w:val="IntenseQuote"/>
      </w:pPr>
      <w:r>
        <w:t>CAR(i,t) = α + β1 S(i,t) + ΓX(i,t) + ε(i,t)</w:t>
      </w:r>
    </w:p>
    <w:p w14:paraId="17A38F75" w14:textId="77777777" w:rsidR="00A80038" w:rsidRDefault="00E95664">
      <w:pPr>
        <w:pStyle w:val="IntenseQuote"/>
      </w:pPr>
      <w:r>
        <w:t>CAR(i,t) = α + β1 S(i,t) + β2 ΔS(i,t) + ΓX(i,t) + ε(i,t)</w:t>
      </w:r>
    </w:p>
    <w:p w14:paraId="78C332A6" w14:textId="77777777" w:rsidR="00A80038" w:rsidRDefault="00E95664">
      <w:pPr>
        <w:pStyle w:val="IntenseQuote"/>
      </w:pPr>
      <w:r>
        <w:t>CAR(i,t) = α + β1 S_novel(i,t) + β2 S_persistent(i,t) + β3 Novelty(i,t) + ΓX(i,t) + ε(i,t)</w:t>
      </w:r>
    </w:p>
    <w:p w14:paraId="737AFE84" w14:textId="77777777" w:rsidR="00A80038" w:rsidRDefault="00E95664">
      <w:pPr>
        <w:pStyle w:val="IntenseQuote"/>
      </w:pPr>
      <w:r>
        <w:t>CAR(i,t) = α + β1 S(i,t) + β2 Novelty(i,t) + β3 [S × Novelty](i,t) + ΓX(i,t) + ε(i,t)</w:t>
      </w:r>
    </w:p>
    <w:p w14:paraId="508303AA" w14:textId="77777777" w:rsidR="00A80038" w:rsidRDefault="00E95664">
      <w:r>
        <w:rPr>
          <w:b/>
        </w:rPr>
        <w:t xml:space="preserve">For the model-comparison contribution, </w:t>
      </w:r>
      <w:r>
        <w:t>estimate these specifications consistently by sentiment technology and formally test cross-model coefficient differences or predictive/explanatory performance differences. The paper should avoid interpreting a coefficient that is significant for one model and insignificant for another as proof that the coefficients differ.</w:t>
      </w:r>
    </w:p>
    <w:p w14:paraId="4D307862" w14:textId="77777777" w:rsidR="00A80038" w:rsidRDefault="00E95664">
      <w:pPr>
        <w:pStyle w:val="Heading1"/>
      </w:pPr>
      <w:r>
        <w:t>12. Main Threats to the Paper</w:t>
      </w:r>
    </w:p>
    <w:p w14:paraId="57872975" w14:textId="77777777" w:rsidR="00A80038" w:rsidRDefault="00E95664">
      <w:r>
        <w:rPr>
          <w:b/>
        </w:rPr>
        <w:t xml:space="preserve">Prior disclosure of the information: </w:t>
      </w:r>
      <w:r>
        <w:t>Annual securities reports may repeat information already released in earnings materials. This is central to the economic setting, not merely a nuisance; measure or control for prior disclosure where feasible.</w:t>
      </w:r>
    </w:p>
    <w:p w14:paraId="774E4FE2" w14:textId="77777777" w:rsidR="00A80038" w:rsidRDefault="00E95664">
      <w:r>
        <w:rPr>
          <w:b/>
        </w:rPr>
        <w:t xml:space="preserve">Novelty-measure researcher degrees of freedom: </w:t>
      </w:r>
      <w:r>
        <w:t>Use a pre-specified primary measure, continuous specifications, and robustness across semantic/lexical alternatives.</w:t>
      </w:r>
    </w:p>
    <w:p w14:paraId="125B7DE7" w14:textId="77777777" w:rsidR="00A80038" w:rsidRDefault="00E95664">
      <w:r>
        <w:rPr>
          <w:b/>
        </w:rPr>
        <w:t xml:space="preserve">Context destruction: </w:t>
      </w:r>
      <w:r>
        <w:t>Sentence differencing can remove the very context BERT/GPT need. Preserve neighboring sentences or matched passage windows as a robustness design.</w:t>
      </w:r>
    </w:p>
    <w:p w14:paraId="5AF9B080" w14:textId="77777777" w:rsidR="00A80038" w:rsidRDefault="00E95664">
      <w:r>
        <w:rPr>
          <w:b/>
        </w:rPr>
        <w:t xml:space="preserve">LLM reproducibility: </w:t>
      </w:r>
      <w:r>
        <w:t>Freeze model version, prompts, temperature and aggregation rules; archive outputs and run stability checks.</w:t>
      </w:r>
    </w:p>
    <w:p w14:paraId="37F5176F" w14:textId="77777777" w:rsidR="00A80038" w:rsidRDefault="00E95664">
      <w:r>
        <w:rPr>
          <w:b/>
        </w:rPr>
        <w:t xml:space="preserve">Mechanical scale differences: </w:t>
      </w:r>
      <w:r>
        <w:t>Normalize sentiment measures carefully and compare economic magnitudes, incremental R²/predictive metrics, and formal coefficient differences.</w:t>
      </w:r>
    </w:p>
    <w:p w14:paraId="5090DD9B" w14:textId="77777777" w:rsidR="00A80038" w:rsidRDefault="00E95664">
      <w:r>
        <w:rPr>
          <w:b/>
        </w:rPr>
        <w:lastRenderedPageBreak/>
        <w:t xml:space="preserve">Overclaiming Japan: </w:t>
      </w:r>
      <w:r>
        <w:t>Japan is an important institutional setting, but not the contribution by itself. The contribution is the interaction between information novelty and measurement technology.</w:t>
      </w:r>
    </w:p>
    <w:p w14:paraId="60926CCE" w14:textId="77777777" w:rsidR="00A80038" w:rsidRDefault="00E95664">
      <w:r>
        <w:rPr>
          <w:b/>
        </w:rPr>
        <w:t xml:space="preserve">Post-hoc model story: </w:t>
      </w:r>
      <w:r>
        <w:t>Pre-specify the contextual-advantage and domain-simplicity alternatives so either outcome is interpretable rather than rationalized after the fact.</w:t>
      </w:r>
    </w:p>
    <w:p w14:paraId="6C651172" w14:textId="77777777" w:rsidR="00A80038" w:rsidRDefault="00E95664">
      <w:pPr>
        <w:pStyle w:val="Heading1"/>
      </w:pPr>
      <w:r>
        <w:t>13. Why This Is a Genuine Second Paper</w:t>
      </w:r>
    </w:p>
    <w:p w14:paraId="7C5B30DB" w14:textId="77777777" w:rsidR="00A80038" w:rsidRDefault="00E95664">
      <w:r>
        <w:rPr>
          <w:b/>
        </w:rPr>
        <w:t xml:space="preserve">Paper 1: </w:t>
      </w:r>
      <w:r>
        <w:t>Which sentiment measure is more closely associated with the market response in Japanese annual disclosures?</w:t>
      </w:r>
    </w:p>
    <w:p w14:paraId="516E37DF" w14:textId="77777777" w:rsidR="00A80038" w:rsidRDefault="00E95664">
      <w:r>
        <w:rPr>
          <w:b/>
        </w:rPr>
        <w:t xml:space="preserve">Paper 2: </w:t>
      </w:r>
      <w:r>
        <w:t>Why does that ranking arise, and does it depend on whether the text contains genuinely new information?</w:t>
      </w:r>
    </w:p>
    <w:p w14:paraId="0C6238A9" w14:textId="77777777" w:rsidR="00A80038" w:rsidRDefault="00E95664">
      <w:r>
        <w:t>This converts an empirical result from Paper 1 into a mechanism question. The dissertation therefore develops a coherent research identity around how to measure the component of financial language that actually matters to markets.</w:t>
      </w:r>
    </w:p>
    <w:p w14:paraId="2F246C49" w14:textId="77777777" w:rsidR="00A80038" w:rsidRDefault="00E95664">
      <w:pPr>
        <w:pStyle w:val="Heading1"/>
      </w:pPr>
      <w:r>
        <w:t>14. Preferred Positioning</w:t>
      </w:r>
    </w:p>
    <w:p w14:paraId="235AEB89" w14:textId="77777777" w:rsidR="00A80038" w:rsidRDefault="00E95664">
      <w:r>
        <w:rPr>
          <w:b/>
        </w:rPr>
        <w:t xml:space="preserve">Preferred working title: </w:t>
      </w:r>
      <w:r>
        <w:t>When Does Contextual NLP Add Value? Textual Innovation and Market-Relevant Sentiment in Japanese Corporate Disclosure</w:t>
      </w:r>
    </w:p>
    <w:p w14:paraId="720AB764" w14:textId="77777777" w:rsidR="00A80038" w:rsidRDefault="00E95664">
      <w:r>
        <w:rPr>
          <w:b/>
        </w:rPr>
        <w:t xml:space="preserve">Alternative: </w:t>
      </w:r>
      <w:r>
        <w:t>What Changed, and How Should We Measure It? Information Novelty and Financial Sentiment in Japanese Annual Reports</w:t>
      </w:r>
    </w:p>
    <w:p w14:paraId="202A6241" w14:textId="77777777" w:rsidR="00A80038" w:rsidRDefault="00E95664">
      <w:r>
        <w:rPr>
          <w:b/>
        </w:rPr>
        <w:t xml:space="preserve">One-sentence pitch: </w:t>
      </w:r>
      <w:r>
        <w:t>Prior research shows that textual novelty matters and that alternative NLP methods produce different financial-sentiment signals; we connect these literatures by testing whether the relative ability of lexical, contextual, and generative methods to capture market-relevant sentiment depends on how much genuinely new information the text contains.</w:t>
      </w:r>
    </w:p>
    <w:p w14:paraId="150812E2" w14:textId="77777777" w:rsidR="00A80038" w:rsidRDefault="00E95664">
      <w:pPr>
        <w:pStyle w:val="Heading1"/>
      </w:pPr>
      <w:r>
        <w:t>15. Recommended Next Research Steps</w:t>
      </w:r>
    </w:p>
    <w:p w14:paraId="71C93593" w14:textId="77777777" w:rsidR="00A80038" w:rsidRDefault="00E95664">
      <w:pPr>
        <w:pStyle w:val="ListNumber"/>
      </w:pPr>
      <w:r>
        <w:t>Freeze the contribution statement above and use it as a search string for one final targeted literature check before coding.</w:t>
      </w:r>
    </w:p>
    <w:p w14:paraId="4F194190" w14:textId="77777777" w:rsidR="00A80038" w:rsidRDefault="00E95664">
      <w:pPr>
        <w:pStyle w:val="ListNumber"/>
      </w:pPr>
      <w:r>
        <w:t>Audit the exact Okada et al. (2025) model set, prompts, return horizons and annual-report section construction to ensure Paper 2 is differentiated cleanly.</w:t>
      </w:r>
    </w:p>
    <w:p w14:paraId="16F50037" w14:textId="77777777" w:rsidR="00A80038" w:rsidRDefault="00E95664">
      <w:pPr>
        <w:pStyle w:val="ListNumber"/>
      </w:pPr>
      <w:r>
        <w:t>Obtain/replicate the Suzuki Japanese financial BERT benchmark and document the sentiment fine-tuning procedure.</w:t>
      </w:r>
    </w:p>
    <w:p w14:paraId="5015FBB9" w14:textId="77777777" w:rsidR="00A80038" w:rsidRDefault="00E95664">
      <w:pPr>
        <w:pStyle w:val="ListNumber"/>
      </w:pPr>
      <w:r>
        <w:t>Build consecutive-year filing pairs and produce descriptive distributions of lexical and semantic similarity.</w:t>
      </w:r>
    </w:p>
    <w:p w14:paraId="7666B575" w14:textId="77777777" w:rsidR="00A80038" w:rsidRDefault="00E95664">
      <w:pPr>
        <w:pStyle w:val="ListNumber"/>
      </w:pPr>
      <w:r>
        <w:t>Replicate a simple Brown–Tucker/Lazy-Prices-style novelty result in the Japanese sample as a benchmark, not as the contribution.</w:t>
      </w:r>
    </w:p>
    <w:p w14:paraId="5D4C2DC2" w14:textId="77777777" w:rsidR="00A80038" w:rsidRDefault="00E95664">
      <w:pPr>
        <w:pStyle w:val="ListNumber"/>
      </w:pPr>
      <w:r>
        <w:t>Run the cheapest decisive pilot: LMMD and existing GPT on full versus novel text. If the ranking changes, the central mechanism has immediate empirical traction.</w:t>
      </w:r>
    </w:p>
    <w:p w14:paraId="4E8446D0" w14:textId="77777777" w:rsidR="00A80038" w:rsidRDefault="00E95664">
      <w:pPr>
        <w:pStyle w:val="ListNumber"/>
      </w:pPr>
      <w:r>
        <w:t>Only then invest in the full BERT pipeline and richer passage-level context design.</w:t>
      </w:r>
    </w:p>
    <w:p w14:paraId="439D8383" w14:textId="77777777" w:rsidR="00A80038" w:rsidRDefault="00E95664">
      <w:pPr>
        <w:pStyle w:val="Heading1"/>
      </w:pPr>
      <w:r>
        <w:lastRenderedPageBreak/>
        <w:t>16. Selected References</w:t>
      </w:r>
    </w:p>
    <w:p w14:paraId="0CCB0C4A" w14:textId="77777777" w:rsidR="00A80038" w:rsidRDefault="00E95664">
      <w:pPr>
        <w:pStyle w:val="ListBullet"/>
      </w:pPr>
      <w:r>
        <w:t>Brown, S. V., &amp; Tucker, J. W. (2011). Large-Sample Evidence on Firms’ Year-over-Year MD&amp;A Modifications. Journal of Accounting Research, 49(2), 309–346.</w:t>
      </w:r>
    </w:p>
    <w:p w14:paraId="64A3223C" w14:textId="77777777" w:rsidR="00A80038" w:rsidRDefault="00E95664">
      <w:pPr>
        <w:pStyle w:val="ListBullet"/>
      </w:pPr>
      <w:r>
        <w:t>Chiu, I.-C., &amp; Hung, M.-W. (2025). Finance-specific large language models: Advancing sentiment analysis and return prediction with LLaMA 2. Pacific-Basin Finance Journal, 90, 102632.</w:t>
      </w:r>
    </w:p>
    <w:p w14:paraId="61655034" w14:textId="77777777" w:rsidR="00A80038" w:rsidRDefault="00E95664">
      <w:pPr>
        <w:pStyle w:val="ListBullet"/>
      </w:pPr>
      <w:r>
        <w:t>Cohen, L., Malloy, C., &amp; Nguyen, Q. (2020). Lazy Prices. Journal of Finance, 75(3), 1371–1415.</w:t>
      </w:r>
    </w:p>
    <w:p w14:paraId="06C2D720" w14:textId="77777777" w:rsidR="00A80038" w:rsidRDefault="00E95664">
      <w:pPr>
        <w:pStyle w:val="ListBullet"/>
      </w:pPr>
      <w:r>
        <w:t>Dyer, T., Lang, M., &amp; Stice-Lawrence, L. (2017). The Evolution of 10-K Textual Disclosure: Evidence from Latent Dirichlet Allocation. Journal of Accounting and Economics, 64(2–3), 221–245.</w:t>
      </w:r>
    </w:p>
    <w:p w14:paraId="7BC3A03E" w14:textId="77777777" w:rsidR="00A80038" w:rsidRDefault="00E95664">
      <w:pPr>
        <w:pStyle w:val="ListBullet"/>
      </w:pPr>
      <w:r>
        <w:t>Feldman, R., Govindaraj, S., Livnat, J., &amp; Segal, B. (2010). Management’s Tone Change, Post Earnings Announcement Drift and Accruals. Review of Accounting Studies, 15(4), 915–953.</w:t>
      </w:r>
    </w:p>
    <w:p w14:paraId="1AE75E84" w14:textId="77777777" w:rsidR="00A80038" w:rsidRDefault="00E95664">
      <w:pPr>
        <w:pStyle w:val="ListBullet"/>
      </w:pPr>
      <w:r>
        <w:t>Frankel, R., Jennings, J., &amp; Lee, J. (2022). Disclosure Sentiment: Machine Learning vs. Dictionary Methods. Management Science, 68(7), 5514–5532.</w:t>
      </w:r>
    </w:p>
    <w:p w14:paraId="3921A853" w14:textId="77777777" w:rsidR="00A80038" w:rsidRDefault="00E95664">
      <w:pPr>
        <w:pStyle w:val="ListBullet"/>
      </w:pPr>
      <w:r>
        <w:t>Glasserman, P., &amp; Mamaysky, H. (2019). Does Unusual News Forecast Market Stress? Journal of Financial and Quantitative Analysis.</w:t>
      </w:r>
    </w:p>
    <w:p w14:paraId="5B433EBC" w14:textId="77777777" w:rsidR="00A80038" w:rsidRDefault="00E95664">
      <w:pPr>
        <w:pStyle w:val="ListBullet"/>
      </w:pPr>
      <w:r>
        <w:t>Nakatsuka, H., &amp; Suimon, Y. (2026). How does the market respond to textual novelty: Joint analysis of similarity and sentiment on Japanese corporate disclosures. Economics Letters, 265, 113002.</w:t>
      </w:r>
    </w:p>
    <w:p w14:paraId="3DCA902F" w14:textId="77777777" w:rsidR="00A80038" w:rsidRDefault="00E95664">
      <w:pPr>
        <w:pStyle w:val="ListBullet"/>
      </w:pPr>
      <w:r>
        <w:t>Okada, K., Nakasuji, M., Tsukioka, Y., &amp; Yamasaki, T. (2025). From words to returns: Sentiment analysis of Japanese 10-K reports using advanced large language models. PeerJ Computer Science, 11, e3349.</w:t>
      </w:r>
    </w:p>
    <w:p w14:paraId="1F0A2568" w14:textId="77777777" w:rsidR="00A80038" w:rsidRDefault="00E95664">
      <w:pPr>
        <w:pStyle w:val="ListBullet"/>
      </w:pPr>
      <w:r>
        <w:t>Suzuki, M., Sakaji, H., Hirano, M., &amp; Izumi, K. (2023). Constructing and analyzing domain-specific language model for financial text mining. Information Processing &amp; Management, 60(2), 103194.</w:t>
      </w:r>
    </w:p>
    <w:sectPr w:rsidR="00A8003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46BDF" w14:textId="77777777" w:rsidR="00E95664" w:rsidRDefault="00E95664">
      <w:pPr>
        <w:spacing w:after="0" w:line="240" w:lineRule="auto"/>
      </w:pPr>
      <w:r>
        <w:separator/>
      </w:r>
    </w:p>
  </w:endnote>
  <w:endnote w:type="continuationSeparator" w:id="0">
    <w:p w14:paraId="28C3720F" w14:textId="77777777" w:rsidR="00E95664" w:rsidRDefault="00E9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2ED7" w14:textId="77777777" w:rsidR="00A80038" w:rsidRDefault="00E95664">
    <w:pPr>
      <w:pStyle w:val="Footer"/>
      <w:jc w:val="center"/>
    </w:pPr>
    <w:r>
      <w:rPr>
        <w:sz w:val="16"/>
      </w:rPr>
      <w:t>Paper 2 Research Proposal —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5A52" w14:textId="77777777" w:rsidR="00E95664" w:rsidRDefault="00E95664">
      <w:pPr>
        <w:spacing w:after="0" w:line="240" w:lineRule="auto"/>
      </w:pPr>
      <w:r>
        <w:separator/>
      </w:r>
    </w:p>
  </w:footnote>
  <w:footnote w:type="continuationSeparator" w:id="0">
    <w:p w14:paraId="4E326188" w14:textId="77777777" w:rsidR="00E95664" w:rsidRDefault="00E95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642030">
    <w:abstractNumId w:val="8"/>
  </w:num>
  <w:num w:numId="2" w16cid:durableId="578562906">
    <w:abstractNumId w:val="6"/>
  </w:num>
  <w:num w:numId="3" w16cid:durableId="1536117337">
    <w:abstractNumId w:val="5"/>
  </w:num>
  <w:num w:numId="4" w16cid:durableId="1919485850">
    <w:abstractNumId w:val="4"/>
  </w:num>
  <w:num w:numId="5" w16cid:durableId="1233547189">
    <w:abstractNumId w:val="7"/>
  </w:num>
  <w:num w:numId="6" w16cid:durableId="1961833740">
    <w:abstractNumId w:val="3"/>
  </w:num>
  <w:num w:numId="7" w16cid:durableId="1692534088">
    <w:abstractNumId w:val="2"/>
  </w:num>
  <w:num w:numId="8" w16cid:durableId="1549494668">
    <w:abstractNumId w:val="1"/>
  </w:num>
  <w:num w:numId="9" w16cid:durableId="85538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BA"/>
    <w:rsid w:val="0006063C"/>
    <w:rsid w:val="000C6AC2"/>
    <w:rsid w:val="0015074B"/>
    <w:rsid w:val="0029639D"/>
    <w:rsid w:val="00326F90"/>
    <w:rsid w:val="00413F6B"/>
    <w:rsid w:val="004F3AB5"/>
    <w:rsid w:val="005C3904"/>
    <w:rsid w:val="007549A2"/>
    <w:rsid w:val="00A80038"/>
    <w:rsid w:val="00AA1D8D"/>
    <w:rsid w:val="00B47730"/>
    <w:rsid w:val="00C26469"/>
    <w:rsid w:val="00CB0664"/>
    <w:rsid w:val="00D21251"/>
    <w:rsid w:val="00D31352"/>
    <w:rsid w:val="00E95664"/>
    <w:rsid w:val="00F174C6"/>
    <w:rsid w:val="00F92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50DEF"/>
  <w14:defaultImageDpi w14:val="300"/>
  <w15:docId w15:val="{601BF31A-1E41-4D01-9245-6B3CF3CB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Lefevre</cp:lastModifiedBy>
  <cp:revision>8</cp:revision>
  <dcterms:created xsi:type="dcterms:W3CDTF">2013-12-23T23:15:00Z</dcterms:created>
  <dcterms:modified xsi:type="dcterms:W3CDTF">2026-08-26T02:54:00Z</dcterms:modified>
  <cp:category/>
</cp:coreProperties>
</file>