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pStyle w:val="Heading2"/>
        <w:spacing w:lineRule="auto"/>
      </w:pPr>
      <w:r>
        <w:rPr/>
        <w:t xml:space="preserve">NAVvoice Architecture (TOGAF‑Aligned)</w:t>
      </w:r>
    </w:p>
    <w:p>
      <w:pPr>
        <w:spacing w:lineRule="auto"/>
      </w:pPr>
      <w:r>
        <w:rPr>
          <w:b/>
        </w:rPr>
        <w:t xml:space="preserve">Version</w:t>
      </w:r>
      <w:r>
        <w:rPr/>
        <w:t xml:space="preserve">: 1.0</w:t>
      </w:r>
      <w:r>
        <w:rPr/>
        <w:br w:type="textWrapping"/>
      </w:r>
      <w:r>
        <w:rPr>
          <w:b/>
        </w:rPr>
        <w:t xml:space="preserve">Date</w:t>
      </w:r>
      <w:r>
        <w:rPr/>
        <w:t xml:space="preserve">: 2025-12-16</w:t>
      </w:r>
      <w:r>
        <w:rPr/>
        <w:br w:type="textWrapping"/>
      </w:r>
      <w:r>
        <w:rPr>
          <w:b/>
        </w:rPr>
        <w:t xml:space="preserve">Scope</w:t>
      </w:r>
      <w:r>
        <w:rPr/>
        <w:t xml:space="preserve">: NAV Online Számla invoice reconciliation + AI chasing workflow for Hungarian SME accounting operations.</w:t>
      </w:r>
    </w:p>
    <w:p>
      <w:pPr>
        <w:pStyle w:val="Heading2"/>
        <w:spacing w:lineRule="auto"/>
      </w:pPr>
      <w:r>
        <w:rPr/>
        <w:t xml:space="preserve">1) Architecture Vision (TOGAF ADM Phase A)</w:t>
      </w:r>
    </w:p>
    <w:p>
      <w:pPr>
        <w:pStyle w:val="Heading3"/>
        <w:spacing w:lineRule="auto"/>
      </w:pPr>
      <w:r>
        <w:rPr/>
        <w:t xml:space="preserve">Drivers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Regulatory compliance</w:t>
      </w:r>
      <w:r>
        <w:rPr/>
        <w:t xml:space="preserve">: Hungarian NAV Online Számla reporting; September 2025 stricter validations; 8‑year retention.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Operational risk reduction</w:t>
      </w:r>
      <w:r>
        <w:rPr/>
        <w:t xml:space="preserve">: prevent missing invoice PDFs that block bookkeeping and VAT reclaim.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Security &amp; privacy</w:t>
      </w:r>
      <w:r>
        <w:rPr/>
        <w:t xml:space="preserve">: protect NAV technical user credentials, invoices (financial data), and business contact data (GDPR).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Scale &amp; resilience</w:t>
      </w:r>
      <w:r>
        <w:rPr/>
        <w:t xml:space="preserve">: support multiple tenants (SMEs) and increasing invoice volume without system‑wide failures.</w:t>
      </w:r>
    </w:p>
    <w:p>
      <w:pPr>
        <w:pStyle w:val="Heading3"/>
        <w:spacing w:lineRule="auto"/>
      </w:pPr>
      <w:r>
        <w:rPr/>
        <w:t xml:space="preserve">Target Outcomes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Detect missing invoices</w:t>
      </w:r>
      <w:r>
        <w:rPr/>
        <w:t xml:space="preserve"> by reconciling NAV invoice metadata vs received PDFs.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Automate vendor outreach</w:t>
      </w:r>
      <w:r>
        <w:rPr/>
        <w:t xml:space="preserve"> using an AI agent with </w:t>
      </w:r>
      <w:r>
        <w:rPr>
          <w:b/>
        </w:rPr>
        <w:t xml:space="preserve">human approval</w:t>
      </w:r>
      <w:r>
        <w:rPr/>
        <w:t xml:space="preserve"> where required.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Maintain tenant isolation</w:t>
      </w:r>
      <w:r>
        <w:rPr/>
        <w:t xml:space="preserve"> end‑to‑end (data, secrets, processing, audit).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Enable extensibility</w:t>
      </w:r>
      <w:r>
        <w:rPr/>
        <w:t xml:space="preserve">: modular architecture supports future integrations (additional invoice sources, ERP connectors) without breaking core NAV functionality.</w:t>
      </w:r>
    </w:p>
    <w:p>
      <w:pPr>
        <w:pStyle w:val="Heading3"/>
        <w:spacing w:lineRule="auto"/>
      </w:pPr>
      <w:r>
        <w:rPr/>
        <w:t xml:space="preserve">Stakeholders (Typical)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Client</w:t>
      </w:r>
      <w:r>
        <w:rPr/>
        <w:t xml:space="preserve">: Accounting Manager, Bookkeeper, Site Manager (PDF uploader)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SaaS Operator</w:t>
      </w:r>
      <w:r>
        <w:rPr/>
        <w:t xml:space="preserve">: Support, Security Officer, Platform Engineer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External</w:t>
      </w:r>
      <w:r>
        <w:rPr/>
        <w:t xml:space="preserve">: NAV API, Email providers, LLM provider (Gemini), Cloud provider</w:t>
      </w:r>
    </w:p>
    <w:p>
      <w:pPr>
        <w:pStyle w:val="Heading2"/>
        <w:spacing w:lineRule="auto"/>
      </w:pPr>
      <w:r>
        <w:rPr/>
        <w:t xml:space="preserve">2) Baseline vs Target Architecture (TOGAF Content Framework)</w:t>
      </w:r>
    </w:p>
    <w:p>
      <w:pPr>
        <w:pStyle w:val="Heading3"/>
        <w:spacing w:lineRule="auto"/>
      </w:pPr>
      <w:r>
        <w:rPr/>
        <w:t xml:space="preserve">Baseline (as implemented in this repo)</w:t>
      </w:r>
    </w:p>
    <w:p>
      <w:pPr>
        <w:spacing w:lineRule="auto"/>
      </w:pPr>
      <w:r>
        <w:rPr>
          <w:b/>
        </w:rPr>
        <w:t xml:space="preserve">Core building blocks (SBBs mapped to code):</w:t>
      </w:r>
    </w:p>
    <w:p>
      <w:pPr>
        <w:numPr>
          <w:ilvl w:val="0"/>
          <w:numId w:val="4"/>
        </w:numPr>
        <w:spacing w:lineRule="auto"/>
      </w:pPr>
      <w:r>
        <w:rPr/>
        <w:t xml:space="preserve">NAV API integration: </w:t>
      </w:r>
      <w:r>
        <w:rPr/>
        <w:t xml:space="preserve">nav_client.py</w:t>
      </w:r>
      <w:r>
        <w:rPr/>
        <w:t xml:space="preserve"> (</w:t>
      </w:r>
      <w:r>
        <w:rPr/>
        <w:t xml:space="preserve">NavClient</w:t>
      </w:r>
      <w:r>
        <w:rPr/>
        <w:t xml:space="preserve">, crypto, rate limiting, retries)</w:t>
      </w:r>
    </w:p>
    <w:p>
      <w:pPr>
        <w:numPr>
          <w:ilvl w:val="0"/>
          <w:numId w:val="4"/>
        </w:numPr>
        <w:spacing w:lineRule="auto"/>
      </w:pPr>
      <w:r>
        <w:rPr/>
        <w:t xml:space="preserve">Tenant secrets vault: </w:t>
      </w:r>
      <w:r>
        <w:rPr/>
        <w:t xml:space="preserve">nav_secret_manager.py</w:t>
      </w:r>
      <w:r>
        <w:rPr/>
        <w:t xml:space="preserve"> (</w:t>
      </w:r>
      <w:r>
        <w:rPr/>
        <w:t xml:space="preserve">NavSecretManager</w:t>
      </w:r>
      <w:r>
        <w:rPr/>
        <w:t xml:space="preserve"> over GCP Secret Manager)</w:t>
      </w:r>
    </w:p>
    <w:p>
      <w:pPr>
        <w:numPr>
          <w:ilvl w:val="0"/>
          <w:numId w:val="4"/>
        </w:numPr>
        <w:spacing w:lineRule="auto"/>
      </w:pPr>
      <w:r>
        <w:rPr/>
        <w:t xml:space="preserve">Tenant data store: </w:t>
      </w:r>
      <w:r>
        <w:rPr/>
        <w:t xml:space="preserve">database_manager.py</w:t>
      </w:r>
      <w:r>
        <w:rPr/>
        <w:t xml:space="preserve"> (SQLite, tenant‑scoped tables + audit log)</w:t>
      </w:r>
    </w:p>
    <w:p>
      <w:pPr>
        <w:numPr>
          <w:ilvl w:val="0"/>
          <w:numId w:val="4"/>
        </w:numPr>
        <w:spacing w:lineRule="auto"/>
      </w:pPr>
      <w:r>
        <w:rPr/>
        <w:t xml:space="preserve">Document processing: </w:t>
      </w:r>
      <w:r>
        <w:rPr/>
        <w:t xml:space="preserve">pdf_scanner.py</w:t>
      </w:r>
      <w:r>
        <w:rPr/>
        <w:t xml:space="preserve"> (folder scan + PDF text/optional OCR extraction)</w:t>
      </w:r>
    </w:p>
    <w:p>
      <w:pPr>
        <w:numPr>
          <w:ilvl w:val="0"/>
          <w:numId w:val="4"/>
        </w:numPr>
        <w:spacing w:lineRule="auto"/>
      </w:pPr>
      <w:r>
        <w:rPr/>
        <w:t xml:space="preserve">AI drafting + sending: </w:t>
      </w:r>
      <w:r>
        <w:rPr/>
        <w:t xml:space="preserve">invoice_agent.py</w:t>
      </w:r>
      <w:r>
        <w:rPr/>
        <w:t xml:space="preserve"> (Gemini integration, prompt‑injection protection, SMTP sender)</w:t>
      </w:r>
    </w:p>
    <w:p>
      <w:pPr>
        <w:numPr>
          <w:ilvl w:val="0"/>
          <w:numId w:val="4"/>
        </w:numPr>
        <w:spacing w:lineRule="auto"/>
      </w:pPr>
      <w:r>
        <w:rPr/>
        <w:t xml:space="preserve">Human approval workflow: </w:t>
      </w:r>
      <w:r>
        <w:rPr/>
        <w:t xml:space="preserve">approval_queue.py</w:t>
      </w:r>
      <w:r>
        <w:rPr/>
        <w:t xml:space="preserve"> (SQLite queue + action log)</w:t>
      </w:r>
    </w:p>
    <w:p>
      <w:pPr>
        <w:numPr>
          <w:ilvl w:val="0"/>
          <w:numId w:val="4"/>
        </w:numPr>
        <w:spacing w:lineRule="auto"/>
      </w:pPr>
      <w:r>
        <w:rPr/>
        <w:t xml:space="preserve">AuthN/Z blueprint: </w:t>
      </w:r>
      <w:r>
        <w:rPr/>
        <w:t xml:space="preserve">auth.py</w:t>
      </w:r>
      <w:r>
        <w:rPr/>
        <w:t xml:space="preserve"> (JWT + RBAC abstractions; not yet wired to a web API)</w:t>
      </w:r>
    </w:p>
    <w:p>
      <w:pPr>
        <w:spacing w:lineRule="auto"/>
      </w:pPr>
      <w:r>
        <w:rPr>
          <w:b/>
        </w:rPr>
        <w:t xml:space="preserve">Key constraint</w:t>
      </w:r>
      <w:r>
        <w:rPr/>
        <w:t xml:space="preserve">: The NAV API client has extensive unit tests; </w:t>
      </w:r>
      <w:r>
        <w:rPr>
          <w:b/>
        </w:rPr>
        <w:t xml:space="preserve">live NAV test-environment execution remains a separate operational step</w:t>
      </w:r>
      <w:r>
        <w:rPr/>
        <w:t xml:space="preserve"> (see </w:t>
      </w:r>
      <w:r>
        <w:rPr/>
        <w:t xml:space="preserve">test_nav_live_api.py</w:t>
      </w:r>
      <w:r>
        <w:rPr/>
        <w:t xml:space="preserve"> + setup docs).</w:t>
      </w:r>
    </w:p>
    <w:p>
      <w:pPr>
        <w:pStyle w:val="Heading3"/>
        <w:spacing w:lineRule="auto"/>
      </w:pPr>
      <w:r>
        <w:rPr/>
        <w:t xml:space="preserve">Target (platform-ready, TOGAF Phase D design)</w:t>
      </w:r>
    </w:p>
    <w:p>
      <w:pPr>
        <w:spacing w:lineRule="auto"/>
      </w:pPr>
      <w:r>
        <w:rPr/>
        <w:t xml:space="preserve">Move from “single-process scripts” to </w:t>
      </w:r>
      <w:r>
        <w:rPr>
          <w:b/>
        </w:rPr>
        <w:t xml:space="preserve">stateless services</w:t>
      </w:r>
      <w:r>
        <w:rPr/>
        <w:t xml:space="preserve"> coordinated via a </w:t>
      </w:r>
      <w:r>
        <w:rPr>
          <w:b/>
        </w:rPr>
        <w:t xml:space="preserve">message bus</w:t>
      </w:r>
      <w:r>
        <w:rPr/>
        <w:t xml:space="preserve">, with clear separation of concerns: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API Layer</w:t>
      </w:r>
      <w:r>
        <w:rPr/>
        <w:t xml:space="preserve"> (tenant + user identity, admin, dashboards)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Domain Adapters</w:t>
      </w:r>
      <w:r>
        <w:rPr/>
        <w:t xml:space="preserve"> (NAV connector, Email connector, Document connector)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Processing Workers</w:t>
      </w:r>
      <w:r>
        <w:rPr/>
        <w:t xml:space="preserve"> (NAV sync, document extraction, reconciliation, AI draft, approval, send)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Core Platform Services</w:t>
      </w:r>
      <w:r>
        <w:rPr/>
        <w:t xml:space="preserve"> (tenant registry, authZ, secrets, audit, observability)</w:t>
      </w:r>
    </w:p>
    <w:p>
      <w:pPr>
        <w:pStyle w:val="Heading3"/>
        <w:spacing w:lineRule="auto"/>
      </w:pPr>
      <w:r>
        <w:rPr/>
        <w:t xml:space="preserve">Target layered view (Business / Application / Data / Technology)</w:t>
      </w:r>
    </w:p>
    <w:p>
      <w:pPr>
        <w:pStyle w:val="Heading2"/>
        <w:spacing w:lineRule="auto"/>
      </w:pPr>
      <w:r>
        <w:rPr/>
        <w:t xml:space="preserve">3) Solution Concept Diagram (high-level context)</w:t>
      </w:r>
    </w:p>
    <w:p>
      <w:pPr>
        <w:spacing w:lineRule="auto"/>
      </w:pPr>
      <w:r>
        <w:rPr>
          <w:b/>
        </w:rPr>
        <w:t xml:space="preserve">Notes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Baseline</w:t>
      </w:r>
      <w:r>
        <w:rPr/>
        <w:t xml:space="preserve"> today implements most boxes as Python modules; </w:t>
      </w:r>
      <w:r>
        <w:rPr>
          <w:b/>
        </w:rPr>
        <w:t xml:space="preserve">Target</w:t>
      </w:r>
      <w:r>
        <w:rPr/>
        <w:t xml:space="preserve"> formalizes them as separately deployable services.</w:t>
      </w:r>
    </w:p>
    <w:p>
      <w:pPr>
        <w:numPr>
          <w:ilvl w:val="0"/>
          <w:numId w:val="6"/>
        </w:numPr>
        <w:spacing w:lineRule="auto"/>
      </w:pPr>
      <w:r>
        <w:rPr/>
        <w:t xml:space="preserve">Tenant context is a </w:t>
      </w:r>
      <w:r>
        <w:rPr>
          <w:b/>
        </w:rPr>
        <w:t xml:space="preserve">first-class request attribute</w:t>
      </w:r>
      <w:r>
        <w:rPr/>
        <w:t xml:space="preserve"> enforced by authZ and persisted in all data records.</w:t>
      </w:r>
    </w:p>
    <w:p>
      <w:pPr>
        <w:pStyle w:val="Heading2"/>
        <w:spacing w:lineRule="auto"/>
      </w:pPr>
      <w:r>
        <w:rPr/>
        <w:t xml:space="preserve">4) Business Architecture (TOGAF ADM Phase B)</w:t>
      </w:r>
    </w:p>
    <w:p>
      <w:pPr>
        <w:pStyle w:val="Heading3"/>
        <w:spacing w:lineRule="auto"/>
      </w:pPr>
      <w:r>
        <w:rPr/>
        <w:t xml:space="preserve">Business Capabilities (capability map)</w:t>
      </w:r>
    </w:p>
    <w:p>
      <w:pPr>
        <w:pStyle w:val="Heading3"/>
        <w:spacing w:lineRule="auto"/>
      </w:pPr>
      <w:r>
        <w:rPr/>
        <w:t xml:space="preserve">Value Stream (simplified)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Sync invoices from NAV</w:t>
      </w:r>
      <w:r>
        <w:rPr/>
        <w:t xml:space="preserve"> → 2. </w:t>
      </w:r>
      <w:r>
        <w:rPr>
          <w:b/>
        </w:rPr>
        <w:t xml:space="preserve">Ingest PDFs</w:t>
      </w:r>
      <w:r>
        <w:rPr/>
        <w:t xml:space="preserve"> → 3. </w:t>
      </w:r>
      <w:r>
        <w:rPr>
          <w:b/>
        </w:rPr>
        <w:t xml:space="preserve">Match &amp; detect gaps</w:t>
      </w:r>
      <w:r>
        <w:rPr/>
        <w:t xml:space="preserve"> → 4. </w:t>
      </w:r>
      <w:r>
        <w:rPr>
          <w:b/>
        </w:rPr>
        <w:t xml:space="preserve">Draft outreach</w:t>
      </w:r>
      <w:r>
        <w:rPr/>
        <w:t xml:space="preserve"> → 5. </w:t>
      </w:r>
      <w:r>
        <w:rPr>
          <w:b/>
        </w:rPr>
        <w:t xml:space="preserve">Approve (if required)</w:t>
      </w:r>
      <w:r>
        <w:rPr/>
        <w:t xml:space="preserve"> → 6. </w:t>
      </w:r>
      <w:r>
        <w:rPr>
          <w:b/>
        </w:rPr>
        <w:t xml:space="preserve">Send</w:t>
      </w:r>
      <w:r>
        <w:rPr/>
        <w:t xml:space="preserve"> → 7. </w:t>
      </w:r>
      <w:r>
        <w:rPr>
          <w:b/>
        </w:rPr>
        <w:t xml:space="preserve">Track outcomes &amp; audit</w:t>
      </w:r>
    </w:p>
    <w:p>
      <w:pPr>
        <w:pStyle w:val="Heading2"/>
        <w:spacing w:lineRule="auto"/>
      </w:pPr>
      <w:r>
        <w:rPr/>
        <w:t xml:space="preserve">5) Application Architecture (TOGAF ADM Phase C)</w:t>
      </w:r>
    </w:p>
    <w:p>
      <w:pPr>
        <w:pStyle w:val="Heading3"/>
        <w:spacing w:lineRule="auto"/>
      </w:pPr>
      <w:r>
        <w:rPr/>
        <w:t xml:space="preserve">Application Building Blocks (ABB → SBB mapping)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NAV Connector</w:t>
      </w:r>
      <w:r>
        <w:rPr/>
        <w:t xml:space="preserve"> → </w:t>
      </w:r>
      <w:r>
        <w:rPr/>
        <w:t xml:space="preserve">NavClient</w:t>
      </w:r>
      <w:r>
        <w:rPr/>
        <w:t xml:space="preserve"> (</w:t>
      </w:r>
      <w:r>
        <w:rPr/>
        <w:t xml:space="preserve">nav_client.py</w:t>
      </w:r>
      <w:r>
        <w:rPr/>
        <w:t xml:space="preserve">)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Tenant Secret Vault</w:t>
      </w:r>
      <w:r>
        <w:rPr/>
        <w:t xml:space="preserve"> → </w:t>
      </w:r>
      <w:r>
        <w:rPr/>
        <w:t xml:space="preserve">NavSecretManager</w:t>
      </w:r>
      <w:r>
        <w:rPr/>
        <w:t xml:space="preserve"> (</w:t>
      </w:r>
      <w:r>
        <w:rPr/>
        <w:t xml:space="preserve">nav_secret_manager.py</w:t>
      </w:r>
      <w:r>
        <w:rPr/>
        <w:t xml:space="preserve">) backed by GCP Secret Manager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Invoice State Store</w:t>
      </w:r>
      <w:r>
        <w:rPr/>
        <w:t xml:space="preserve"> → </w:t>
      </w:r>
      <w:r>
        <w:rPr/>
        <w:t xml:space="preserve">DatabaseManager</w:t>
      </w:r>
      <w:r>
        <w:rPr/>
        <w:t xml:space="preserve"> (</w:t>
      </w:r>
      <w:r>
        <w:rPr/>
        <w:t xml:space="preserve">database_manager.py</w:t>
      </w:r>
      <w:r>
        <w:rPr/>
        <w:t xml:space="preserve">) (SQLite today; Postgres recommended for target)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Document Extraction</w:t>
      </w:r>
      <w:r>
        <w:rPr/>
        <w:t xml:space="preserve"> → </w:t>
      </w:r>
      <w:r>
        <w:rPr/>
        <w:t xml:space="preserve">PDFScanner</w:t>
      </w:r>
      <w:r>
        <w:rPr/>
        <w:t xml:space="preserve"> / </w:t>
      </w:r>
      <w:r>
        <w:rPr/>
        <w:t xml:space="preserve">PDFContentExtractor</w:t>
      </w:r>
      <w:r>
        <w:rPr/>
        <w:t xml:space="preserve"> (</w:t>
      </w:r>
      <w:r>
        <w:rPr/>
        <w:t xml:space="preserve">pdf_scanner.py</w:t>
      </w:r>
      <w:r>
        <w:rPr/>
        <w:t xml:space="preserve">)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AI Drafting Agent</w:t>
      </w:r>
      <w:r>
        <w:rPr/>
        <w:t xml:space="preserve"> → </w:t>
      </w:r>
      <w:r>
        <w:rPr/>
        <w:t xml:space="preserve">InvoiceAgent</w:t>
      </w:r>
      <w:r>
        <w:rPr/>
        <w:t xml:space="preserve"> (</w:t>
      </w:r>
      <w:r>
        <w:rPr/>
        <w:t xml:space="preserve">invoice_agent.py</w:t>
      </w:r>
      <w:r>
        <w:rPr/>
        <w:t xml:space="preserve">) with input/output guards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Human Approval</w:t>
      </w:r>
      <w:r>
        <w:rPr/>
        <w:t xml:space="preserve"> → </w:t>
      </w:r>
      <w:r>
        <w:rPr/>
        <w:t xml:space="preserve">ApprovalQueue</w:t>
      </w:r>
      <w:r>
        <w:rPr/>
        <w:t xml:space="preserve"> (</w:t>
      </w:r>
      <w:r>
        <w:rPr/>
        <w:t xml:space="preserve">approval_queue.py</w:t>
      </w:r>
      <w:r>
        <w:rPr/>
        <w:t xml:space="preserve">)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Identity &amp; Authorization</w:t>
      </w:r>
      <w:r>
        <w:rPr/>
        <w:t xml:space="preserve"> → </w:t>
      </w:r>
      <w:r>
        <w:rPr/>
        <w:t xml:space="preserve">AuthService/JWTManager</w:t>
      </w:r>
      <w:r>
        <w:rPr/>
        <w:t xml:space="preserve"> (</w:t>
      </w:r>
      <w:r>
        <w:rPr/>
        <w:t xml:space="preserve">auth.py</w:t>
      </w:r>
      <w:r>
        <w:rPr/>
        <w:t xml:space="preserve">) (integration layer pending)</w:t>
      </w:r>
    </w:p>
    <w:p>
      <w:pPr>
        <w:pStyle w:val="Heading3"/>
        <w:spacing w:lineRule="auto"/>
      </w:pPr>
      <w:r>
        <w:rPr/>
        <w:t xml:space="preserve">Key workflow (sequence): “Missing invoice → AI draft → Approval → Send”</w:t>
      </w:r>
    </w:p>
    <w:p>
      <w:pPr>
        <w:pStyle w:val="Heading2"/>
        <w:spacing w:lineRule="auto"/>
      </w:pPr>
      <w:r>
        <w:rPr/>
        <w:t xml:space="preserve">6) Data Architecture (TOGAF ADM Phase C)</w:t>
      </w:r>
    </w:p>
    <w:p>
      <w:pPr>
        <w:pStyle w:val="Heading3"/>
        <w:spacing w:lineRule="auto"/>
      </w:pPr>
      <w:r>
        <w:rPr/>
        <w:t xml:space="preserve">Core Entities (logical)</w:t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Data classification (minimum)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CRITICAL</w:t>
      </w:r>
      <w:r>
        <w:rPr/>
        <w:t xml:space="preserve">: NAV credentials (technical user login/password + signing/exchange keys) → secrets vault only.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HIGH</w:t>
      </w:r>
      <w:r>
        <w:rPr/>
        <w:t xml:space="preserve">: Invoice PDFs, invoice metadata, vendor contacts → encryption at rest + strict tenant isolation.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MEDIUM</w:t>
      </w:r>
      <w:r>
        <w:rPr/>
        <w:t xml:space="preserve">: Operational logs/metrics (must avoid leaking PII/secrets).</w:t>
      </w:r>
    </w:p>
    <w:p>
      <w:pPr>
        <w:pStyle w:val="Heading2"/>
        <w:spacing w:lineRule="auto"/>
      </w:pPr>
      <w:r>
        <w:rPr/>
        <w:t xml:space="preserve">7) Technology Architecture (TOGAF ADM Phase D)</w:t>
      </w:r>
    </w:p>
    <w:p>
      <w:pPr>
        <w:pStyle w:val="Heading3"/>
        <w:spacing w:lineRule="auto"/>
      </w:pPr>
      <w:r>
        <w:rPr/>
        <w:t xml:space="preserve">Baseline deployment (single-node reference)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Runtime</w:t>
      </w:r>
      <w:r>
        <w:rPr/>
        <w:t xml:space="preserve">: Python processes (CLI/scheduled scripts)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Data</w:t>
      </w:r>
      <w:r>
        <w:rPr/>
        <w:t xml:space="preserve">: SQLite (</w:t>
      </w:r>
      <w:r>
        <w:rPr/>
        <w:t xml:space="preserve">data/*.db</w:t>
      </w:r>
      <w:r>
        <w:rPr/>
        <w:t xml:space="preserve">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Documents</w:t>
      </w:r>
      <w:r>
        <w:rPr/>
        <w:t xml:space="preserve">: local filesystem (</w:t>
      </w:r>
      <w:r>
        <w:rPr/>
        <w:t xml:space="preserve">data/pdfs/</w:t>
      </w:r>
      <w:r>
        <w:rPr/>
        <w:t xml:space="preserve">)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Secrets</w:t>
      </w:r>
      <w:r>
        <w:rPr/>
        <w:t xml:space="preserve">: environment variables </w:t>
      </w:r>
      <w:r>
        <w:rPr/>
        <w:t xml:space="preserve">or</w:t>
      </w:r>
      <w:r>
        <w:rPr/>
        <w:t xml:space="preserve"> GCP Secret Manager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Email</w:t>
      </w:r>
      <w:r>
        <w:rPr/>
        <w:t xml:space="preserve">: SMTP (Gmail app password) / future: provider API</w:t>
      </w:r>
    </w:p>
    <w:p>
      <w:pPr>
        <w:pStyle w:val="Heading3"/>
        <w:spacing w:lineRule="auto"/>
      </w:pPr>
      <w:r>
        <w:rPr/>
        <w:t xml:space="preserve">Target deployment (cloud &amp; scale)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Compute</w:t>
      </w:r>
      <w:r>
        <w:rPr/>
        <w:t xml:space="preserve">: containerized services (Kubernetes / Cloud Run)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Data</w:t>
      </w:r>
      <w:r>
        <w:rPr/>
        <w:t xml:space="preserve">: PostgreSQL (tenant-row security + indexing), optional read replicas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Documents</w:t>
      </w:r>
      <w:r>
        <w:rPr/>
        <w:t xml:space="preserve">: object storage (GCS/S3) + malware scanning pipeline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Secrets</w:t>
      </w:r>
      <w:r>
        <w:rPr/>
        <w:t xml:space="preserve">: managed secrets vault (GCP Secret Manager / AWS Secrets Manager) with rotation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Messaging</w:t>
      </w:r>
      <w:r>
        <w:rPr/>
        <w:t xml:space="preserve">: Pub/Sub / RabbitMQ / SQS for async agents and horizontal scaling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Observability</w:t>
      </w:r>
      <w:r>
        <w:rPr/>
        <w:t xml:space="preserve">: OpenTelemetry traces + metrics + centralized logging (SIEM export)</w:t>
      </w:r>
    </w:p>
    <w:p>
      <w:pPr>
        <w:pStyle w:val="Heading2"/>
        <w:spacing w:lineRule="auto"/>
      </w:pPr>
      <w:r>
        <w:rPr/>
        <w:t xml:space="preserve">8) Security Architecture (cross‑cutting)</w:t>
      </w:r>
    </w:p>
    <w:p>
      <w:pPr>
        <w:pStyle w:val="Heading3"/>
        <w:spacing w:lineRule="auto"/>
      </w:pPr>
      <w:r>
        <w:rPr/>
        <w:t xml:space="preserve">Trust boundaries (must be explicit)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Tenant boundary</w:t>
      </w:r>
      <w:r>
        <w:rPr/>
        <w:t xml:space="preserve">: every request and record carries </w:t>
      </w:r>
      <w:r>
        <w:rPr/>
        <w:t xml:space="preserve">tenant_id</w:t>
      </w:r>
      <w:r>
        <w:rPr/>
        <w:t xml:space="preserve">; enforce in authZ and queries.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Secret boundary</w:t>
      </w:r>
      <w:r>
        <w:rPr/>
        <w:t xml:space="preserve">: credentials never persist outside secrets vault; cache only in memory with TTL.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LLM boundary</w:t>
      </w:r>
      <w:r>
        <w:rPr/>
        <w:t xml:space="preserve">: sanitize all inputs; validate all outputs; block URLs/unknown emails/secret patterns.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Email boundary</w:t>
      </w:r>
      <w:r>
        <w:rPr/>
        <w:t xml:space="preserve">: apply allow‑lists, DMARC/SPF/DKIM checks (ingress) and policy controls (egress).</w:t>
      </w:r>
    </w:p>
    <w:p>
      <w:pPr>
        <w:pStyle w:val="Heading3"/>
        <w:spacing w:lineRule="auto"/>
      </w:pPr>
      <w:r>
        <w:rPr/>
        <w:t xml:space="preserve">Access control model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RBAC</w:t>
      </w:r>
      <w:r>
        <w:rPr/>
        <w:t xml:space="preserve">: Admin / Accountant / Site Manager (existing model in </w:t>
      </w:r>
      <w:r>
        <w:rPr/>
        <w:t xml:space="preserve">auth.py</w:t>
      </w:r>
      <w:r>
        <w:rPr/>
        <w:t xml:space="preserve">)</w:t>
      </w:r>
    </w:p>
    <w:p>
      <w:pPr>
        <w:numPr>
          <w:ilvl w:val="0"/>
          <w:numId w:val="13"/>
        </w:numPr>
        <w:spacing w:lineRule="auto"/>
      </w:pPr>
      <w:r>
        <w:rPr>
          <w:b/>
        </w:rPr>
        <w:t xml:space="preserve">Tenant authorization</w:t>
      </w:r>
      <w:r>
        <w:rPr/>
        <w:t xml:space="preserve">: user ↔ tenant matrix; users only access data within their assigned tenant(s)</w:t>
      </w:r>
    </w:p>
    <w:p>
      <w:pPr>
        <w:pStyle w:val="Heading2"/>
        <w:spacing w:lineRule="auto"/>
      </w:pPr>
      <w:r>
        <w:rPr/>
        <w:t xml:space="preserve">9) Architecture Roadmap (baseline → target)</w:t>
      </w:r>
    </w:p>
    <w:p>
      <w:pPr>
        <w:pStyle w:val="Heading3"/>
        <w:spacing w:lineRule="auto"/>
      </w:pPr>
      <w:r>
        <w:rPr/>
        <w:t xml:space="preserve">Transition steps (minimal risk)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T1: Stabilize tenant boundaries</w:t>
      </w:r>
      <w:r>
        <w:rPr/>
        <w:t xml:space="preserve">: ensure all non-test modules pass tenant_id consistently; align approval + mail + scanning flows with DB tenant scoping.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T2: Introduce API façade</w:t>
      </w:r>
      <w:r>
        <w:rPr/>
        <w:t xml:space="preserve"> (FastAPI): authentication, tenant context propagation, admin operations.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T3: Event-driven processing</w:t>
      </w:r>
      <w:r>
        <w:rPr/>
        <w:t xml:space="preserve">: job queue for NAV sync, scanning, reconciliation, AI drafting, approval, send.</w:t>
      </w:r>
    </w:p>
    <w:p>
      <w:pPr>
        <w:numPr>
          <w:ilvl w:val="0"/>
          <w:numId w:val="14"/>
        </w:numPr>
        <w:spacing w:lineRule="auto"/>
      </w:pPr>
      <w:r>
        <w:rPr>
          <w:b/>
        </w:rPr>
        <w:t xml:space="preserve">T4: Replace SQLite where needed</w:t>
      </w:r>
      <w:r>
        <w:rPr/>
        <w:t xml:space="preserve">: move to Postgres + object storage; add immutable audit retention.</w:t>
      </w:r>
    </w:p>
    <w:p>
      <w:pPr>
        <w:pStyle w:val="Heading2"/>
        <w:spacing w:lineRule="auto"/>
      </w:pPr>
      <w:r>
        <w:rPr/>
        <w:t xml:space="preserve">10) What "done" looks like (acceptance criteria)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Functional completeness</w:t>
      </w:r>
      <w:r>
        <w:rPr/>
        <w:t xml:space="preserve">: NAV invoice reconciliation features work correctly end‑to‑end (including live NAV test env verification).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Security</w:t>
      </w:r>
      <w:r>
        <w:rPr/>
        <w:t xml:space="preserve">: tenant-scoped access controls; secrets protected; strong audit trail; safe LLM usage.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Scalability</w:t>
      </w:r>
      <w:r>
        <w:rPr/>
        <w:t xml:space="preserve">: workers stateless; queue-backed horizontal scaling.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Error handling</w:t>
      </w:r>
      <w:r>
        <w:rPr/>
        <w:t xml:space="preserve">: component failures degrade locally (retries/circuit breakers) without system-wide outage.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7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9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0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2025-12-16T20:52:04.424Z</dcterms:created>
  <dcterms:modified xsi:type="dcterms:W3CDTF">2025-12-16T20:52:04.424Z</dcterms:modified>
</cp:coreProperties>
</file>