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agentize.eu</w:t>
      </w:r>
    </w:p>
    <w:p>
      <w:pPr>
        <w:pBdr>
          <w:bottom w:val="single" w:color="2E86C1" w:sz="4" w:space="8"/>
        </w:pBdr>
        <w:spacing w:after="10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Enterprise AI Platform</w:t>
      </w:r>
    </w:p>
    <w:p>
      <w:pPr>
        <w:spacing w:before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Agent Vendor Guide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What You Need to Know &amp; How It Works for You</w:t>
      </w:r>
    </w:p>
    <w:p>
      <w:pPr>
        <w:spacing w:before="600"/>
      </w:pP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Architektúra terv v2.0 alapján</w:t>
      </w: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2026. február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BIZALMAS — Belső használatra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TL;DR — Miről szól ez a dokumentum</w:t>
      </w:r>
    </w:p>
    <w:p>
      <w:pPr>
        <w:spacing w:after="200"/>
      </w:pPr>
      <w:r>
        <w:t xml:space="preserve">Ez a dokumentum az </w:t>
      </w:r>
      <w:r>
        <w:rPr>
          <w:b/>
          <w:bCs/>
        </w:rPr>
        <w:t xml:space="preserve">agent szállítók</w:t>
      </w:r>
      <w:r>
        <w:t xml:space="preserve"> (fejlesztők, akik ágenseket építenek és szállítanak a platformra) számára íródott. Jelenleg az első agent vendor az agentize.eu maga, de a platform architektúrája úgy készül, hogy később külföldi fejlesztők is bevonhatók legyenek.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1"/>
              <w:left w:val="single" w:color="2E86C1" w:sz="6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Összefoglaló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Az agentize.eu egy enterprise AI platform, amely a Microsoft Teams-be integrálva, az ügyfél Azure előfizetésében fut, VNET izolációval és EU Data Zone Standard telepítéssel. Az agent vendor-ok feladata: LangGraph-alapú agent gráfokat fejleszteni a közös platform szolgáltatások (LLM gateway, RAG pipeline, identity, cost metering) felhasználásával. A platform 70%-a közös infrastruktúra — egy új use-case hozzáadása elsősorban konfiguráció, nem új infrastruktúra.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Platform architektúra — áttekintés</w:t>
      </w:r>
    </w:p>
    <w:p>
      <w:pPr>
        <w:spacing w:after="200"/>
      </w:pPr>
      <w:r>
        <w:t xml:space="preserve">A platform rétegelt architektúrát követ. Az agent vendor-ok főként a Layer 2 (Compute) rétegben dolgoznak, de érteniük kell a teljes stack-et.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Réteg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Komponens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 relevancia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Layer 0 — User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Teams App, Adaptive Cards, React Tabs, Entra ID SSO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Ismerni kell: Adaptive Card formátum, Teams Tab API, SSO/OBO flow. Az agent output-ja Adaptive Card-ként jelenik meg.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Layer 1 — Gateway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APIM, WAF, VNET + Private Link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Nem kell hozzányúlni. A platform kezeli a routing-ot, rate limiting-et, hálózati biztonságot.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Layer 2 — Compute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Container Apps, LangGraph, FastAPI, MiddleLayer SDK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ITT DOLGOZOL. Az agent gráfok itt futnak. LangGraph orchestráció, tool calling, human-in-the-loop, checkpointing.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Layer 3 — Data &amp; AI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Azure AI Foundry, AI Search, Cosmos DB, Blob Storage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Fontos: LLM hívások az LLM Gateway-en keresztül (nem közvetlenül). RAG query-k Azure AI Search-ön. Adat: Cosmos DB + Blob.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Layer 4 — Mgmt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 Insights, Lighthouse, Cost Management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Log-old a munkádat a MiddleLayer SDK-n keresztül. PII maszolás kötelező.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Agent architektúra — hogyan működik</w:t>
      </w:r>
    </w:p>
    <w:p>
      <w:pPr>
        <w:pStyle w:val="Heading2"/>
      </w:pPr>
      <w:r>
        <w:t xml:space="preserve">3.1 Router + Expert Agent minta</w:t>
      </w:r>
    </w:p>
    <w:p>
      <w:pPr>
        <w:spacing w:after="200"/>
      </w:pPr>
      <w:r>
        <w:t xml:space="preserve">Minden felhasználói kérés a következő úton halad: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1"/>
              <w:left w:val="single" w:color="2E86C1" w:sz="6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Request flow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 Input → API Gateway → Router Agent → [TWI Agent | Training Agent | Finance Agent | ...] → Output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A </w:t>
      </w:r>
      <w:r>
        <w:rPr>
          <w:b/>
          <w:bCs/>
        </w:rPr>
        <w:t xml:space="preserve">Router Agent</w:t>
      </w:r>
      <w:r>
        <w:t xml:space="preserve"> osztályozza a kérést use-case szerint, majd a megfelelő </w:t>
      </w:r>
      <w:r>
        <w:rPr>
          <w:b/>
          <w:bCs/>
        </w:rPr>
        <w:t xml:space="preserve">Expert Agent Graph</w:t>
      </w:r>
      <w:r>
        <w:t xml:space="preserve">-hoz irányítja. Mint agent vendor, te egy-egy Expert Agent Graph-ot fejlesztesz.</w:t>
      </w:r>
    </w:p>
    <w:p>
      <w:pPr>
        <w:spacing w:after="200"/>
      </w:pPr>
      <w:r>
        <w:t xml:space="preserve">Minden Expert Agent rendelkezik: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Saját prompt library</w:t>
      </w:r>
      <w:r>
        <w:t xml:space="preserve"> — use-case-specifikus prompt-ok (system, user, few-shot példák)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Saját RAG index</w:t>
      </w:r>
      <w:r>
        <w:t xml:space="preserve"> — külön Azure AI Search index a domén dokumentumokhoz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Saját tool-ok</w:t>
      </w:r>
      <w:r>
        <w:t xml:space="preserve"> — LangGraph tool calling (AI Search, Graph API, dokumentum generálás, stb.)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Saját output formatter</w:t>
      </w:r>
      <w:r>
        <w:t xml:space="preserve"> — Adaptive Card, PDF, SCORM csomag, stb.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Saját validációs szabályok</w:t>
      </w:r>
      <w:r>
        <w:t xml:space="preserve"> — hallucináció-kezelés, confidence scoring, refusal behavior</w:t>
      </w:r>
    </w:p>
    <w:p>
      <w:pPr>
        <w:spacing w:after="100"/>
      </w:pPr>
    </w:p>
    <w:p>
      <w:pPr>
        <w:spacing w:after="200"/>
      </w:pPr>
      <w:r>
        <w:t xml:space="preserve">De </w:t>
      </w:r>
      <w:r>
        <w:rPr>
          <w:b/>
          <w:bCs/>
        </w:rPr>
        <w:t xml:space="preserve">megosztja</w:t>
      </w:r>
      <w:r>
        <w:t xml:space="preserve"> a közös infrastruktúrát: LLM Gateway, cache réteg, observability, identity, cost metering.</w:t>
      </w:r>
    </w:p>
    <w:p>
      <w:pPr>
        <w:pStyle w:val="Heading2"/>
      </w:pPr>
      <w:r>
        <w:t xml:space="preserve">3.2 LangGraph — az orchestrációs keretrendszer</w:t>
      </w:r>
    </w:p>
    <w:p>
      <w:pPr>
        <w:spacing w:after="200"/>
      </w:pPr>
      <w:r>
        <w:t xml:space="preserve">A platform kizárólag </w:t>
      </w:r>
      <w:r>
        <w:rPr>
          <w:b/>
          <w:bCs/>
        </w:rPr>
        <w:t xml:space="preserve">LangGraph</w:t>
      </w:r>
      <w:r>
        <w:t xml:space="preserve">-ot használ (nem LangChain chains/retrievers). A LangGraph gráf-alapú agent workflow orchestrator, GA státusszal, ~400 cégnél működő produkciós telepítéssel.</w:t>
      </w:r>
    </w:p>
    <w:p>
      <w:pPr>
        <w:spacing w:after="120"/>
      </w:pPr>
      <w:r>
        <w:rPr>
          <w:b/>
          <w:bCs/>
        </w:rPr>
        <w:t xml:space="preserve">Amit a LangGraph biztosít neked: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State checkpointing:</w:t>
      </w:r>
      <w:r>
        <w:t xml:space="preserve"> Cosmos DB-be mentés — ha az agent megszakad, onnan folytatja, ahol abbahagyta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Human-in-the-loop interrupt:</w:t>
      </w:r>
      <w:r>
        <w:t xml:space="preserve"> Node-ok, ahol a workflow megáll és emberi jóváhagyást vár (Adaptive Card)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Tool calling:</w:t>
      </w:r>
      <w:r>
        <w:t xml:space="preserve"> Az agent hívhat külső tool-okat (AI Search, Graph API, PDF generátor, stb.)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Ciklusok és elágazások:</w:t>
      </w:r>
      <w:r>
        <w:t xml:space="preserve"> Komplex workflow-k: retry, branching, conditional routing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Token streaming:</w:t>
      </w:r>
      <w:r>
        <w:t xml:space="preserve"> Valós idejű válasz stream-elés a Teams felé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1"/>
              <w:left w:val="single" w:color="E67E22" w:sz="6"/>
              <w:bottom w:val="single" w:color="E67E22" w:sz="1"/>
              <w:right w:val="single" w:color="E67E22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FONTOS: LangChain vs. LangGraph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LangGraph architekturálisan különbözik a LangChain chains/retrievers megközelítéstől. Ne használj LangChain chain-eket — kizárólag LangGraph gráf node-okat és edge-eket. A LangSmith az observability réteg.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Mit építesz — agent vendor feladatok</w:t>
      </w:r>
    </w:p>
    <w:p>
      <w:pPr>
        <w:spacing w:after="200"/>
      </w:pPr>
      <w:r>
        <w:t xml:space="preserve">Egy új use-case (agent) hozzáadásához a következőket kell létrehozni: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300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Komponens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Példa (TWI Agent)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Agent konfiguráció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Use-case registry bejegyzés: név, leírás, router trigger szavak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"twi", "munkautasítás", "gyártási utasítás"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Prompt templates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System prompt, user prompt sablonok, few-shot példák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TWI struktúra: cél, anyagok, lépések, minőségi pontok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Domain tudásbázis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RAG index feltöltés: dokumentumok, chunking stratégia, metadata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Gépkönyvek, SZMSZ, gyártási folyamatok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Output formatter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Hogyan jelenik meg az eredmény: Adaptive Card, PDF, SCORM, stb.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Adaptive Card vázlat + PDF export SharePoint-ra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Validációs szabályok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Hallucináció kontrollok, confidence scoring, refusal behavior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Relevancia score &lt; küszöb → megtagadás + forrás kérés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Golden dataset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50+ QA pár regressziós teszthez, SME-k által validálva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"CNC-01 TWI" → elvárt output + pontos forrás hivatkozás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1"/>
              <w:left w:val="single" w:color="2E86C1" w:sz="6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Az alapígéret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platform infrastruktúrájának ~70%-a közös. Egy új use-case hozzáadása elsősorban konfiguráció (prompt-ok, RAG index, validáció) — nem új infrastruktúra építés. A 3. use-case marginális költsége drasztikusan alacsonyabb, mint az 1.-é.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Közös platform szolgáltatások</w:t>
      </w:r>
    </w:p>
    <w:p>
      <w:pPr>
        <w:spacing w:after="200"/>
      </w:pPr>
      <w:r>
        <w:t xml:space="preserve">Ezeket a szolgáltatásokat a platform biztosítja. Agent vendor-ként ezeket használod, de nem te kezeled.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Szolgáltatás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Technológia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Hogyan használod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LLM Gateway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Bifrost / LiteLLM → Azure AI Foundry (Mistral Large / GPT-4o), Sweden Central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MiddleLayer SDK llm.complete() hívás — a gateway kezeli model routing, caching, cost tracking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RAG Pipeline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Azure AI Search S1, hibrid keresés (keyword + vector + semantic reranking)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MiddleLayer SDK search.query() — tenant-szűrt, relevancia score-ral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Identity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Microsoft Entra ID, SSO/OBO flow, RBAC App Roles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Automatikus — a request context tartalmazza a user ID-t, tenant ID-t, role-okat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Cost Metering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Token fogyasztás monitoring, Azure Cost Management budget alert-ek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Automatikus — minden LLM hívás naplozódik tenant/agent/request szinten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LangSmith + Application Insights (PII maszolással)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MiddleLayer SDK log() — strukturált loggolás, trace ID-vel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Semantic Cache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Redis — 20-40% cache hit rate produkcióban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Automatikus — hasonló kérések cache-ből szolgálhatók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Document Store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Cosmos DB (MongoDB API) + Blob Storage (Private Endpoint)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MiddleLayer SDK db.save() / blob.upload() — tenant ID automatikus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Kötelező kontrollok — amit minden agent-nek teljesítenie kell</w:t>
      </w:r>
    </w:p>
    <w:p>
      <w:pPr>
        <w:spacing w:after="200"/>
      </w:pPr>
      <w:r>
        <w:t xml:space="preserve">Ezek nem opcionálisak. Az ügyfél-oldali elfogadás, a TISAX/ISO compliance és az EU AI Act betartása függ a következőktől:</w:t>
      </w:r>
    </w:p>
    <w:p>
      <w:pPr>
        <w:pStyle w:val="Heading2"/>
      </w:pPr>
      <w:r>
        <w:t xml:space="preserve">6.1 Hallucináció-kezelési keretrendszer</w:t>
      </w:r>
    </w:p>
    <w:p>
      <w:pPr>
        <w:spacing w:after="100"/>
      </w:pPr>
      <w:r>
        <w:t xml:space="preserve">RAG hallucinációs arány specializált/technikai doménekben </w:t>
      </w:r>
      <w:r>
        <w:rPr>
          <w:b/>
          <w:bCs/>
        </w:rPr>
        <w:t xml:space="preserve">60–80%-ra is felszökhet</w:t>
      </w:r>
      <w:r>
        <w:t xml:space="preserve">. Biztonságkritikus gyártási munkautasítások esetén az alábbi kontrollok kötelezőek: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Retrieval validáció: </w:t>
      </w:r>
      <w:r>
        <w:t xml:space="preserve">Ha az AI Search nem talál releváns dokumentumot (score &lt; küszöb), az agent megtagadja a generálást.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Forrás hivatkozás: </w:t>
      </w:r>
      <w:r>
        <w:t xml:space="preserve">Minden generált szekció tartalmazza a forrás dokumentum(ok) nevét és oldalszámait.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Confidence scoring: </w:t>
      </w:r>
      <w:r>
        <w:t xml:space="preserve">LangGraph node a generálás minőségének értékelésére; alacsony pontszámú szekciók jelölése.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Golden dataset teszt: </w:t>
      </w:r>
      <w:r>
        <w:t xml:space="preserve">50+ QA pár (SME-k által validálva) regressziós tesztként futtatva minden modellfrissítésnél.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Kötelező emberi jóváhagyás: </w:t>
      </w:r>
      <w:r>
        <w:t xml:space="preserve">Egyetlen output sem publikálható explicit felhasználói megerősítés nélkül (Adaptive Card).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Audit trail: </w:t>
      </w:r>
      <w:r>
        <w:t xml:space="preserve">Minden generálási kérés naplózása: forrás dokumentumok, modell verzió, jóváhagyási döntés, felhasználó ID.</w:t>
      </w:r>
    </w:p>
    <w:p>
      <w:pPr>
        <w:spacing w:after="100"/>
      </w:pPr>
    </w:p>
    <w:p>
      <w:pPr>
        <w:pStyle w:val="Heading2"/>
      </w:pPr>
      <w:r>
        <w:t xml:space="preserve">6.2 EU AI Act átláthatóság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Minden AI által generált tartalom automatikus jelölése: „AI által generált tartalom — emberi felülvizsgálat szükséges.”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Kötelező „Ellenőriztem és jóváhagyom” gomb a véglegesítés előtt.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2025 februárja óta aktív kötelezettség — nem várható.</w:t>
      </w:r>
    </w:p>
    <w:p>
      <w:pPr>
        <w:spacing w:after="100"/>
      </w:pPr>
    </w:p>
    <w:p>
      <w:pPr>
        <w:pStyle w:val="Heading2"/>
      </w:pPr>
      <w:r>
        <w:t xml:space="preserve">6.3 GDPR és adatkezelés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PII adatok soha nem kerülhetnek az LLM prompt-ba szűrés nélkül.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Minden adat EU Data Zone Standard régióban marad (Sweden Central / Germany West Central).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Chat-előzmények auto-purge konfigurálható időszak után (alapértelmezés: 90 nap).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No-training policy: ügyfél adat soha nem használható modell tanításra.</w:t>
      </w:r>
    </w:p>
    <w:p>
      <w:pPr>
        <w:spacing w:after="200"/>
      </w:pPr>
    </w:p>
    <w:p>
      <w:pPr>
        <w:pStyle w:val="Heading1"/>
      </w:pPr>
      <w:r>
        <w:t xml:space="preserve">7. Technológiai stack és fejlesztői környezet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26"/>
        <w:gridCol w:w="350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Kategória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Technológia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Megjegyzés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Orchestráció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LangGraph (GA)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Kizárólag ez. Nem LangChain chains.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 réteg a Teams Bot és LangGraph között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React (Teams Tab)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TWI szerkesztő, jóváhagyási UI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LLM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Azure AI Foundry (Mistral Large / GPT-4o)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 Zone Standard, Sweden Central. Kötelező.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Vector Search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Azure AI Search S1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Hibrid: keyword + vector + semantic reranking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Adatbázis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Cosmos DB (MongoDB API)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TWI data, workflow state, LangGraph checkpoints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Cache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Redis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Semantic caching, 20-40% hit rate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LangSmith + App Insights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Agent trace-ek, telemetría, PII maszolás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Azure Container Apps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minReplicas: 1. CI/CD: GitHub Actions.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Identity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Microsoft Entra ID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SSO/OBO flow, RBAC App Roles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Dev környezet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Dev Containers (Docker)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Egységes fejlesztői környezet, reprodukálható build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Adatáramlás — egy tipikus kérés útja</w:t>
      </w:r>
    </w:p>
    <w:p>
      <w:pPr>
        <w:spacing w:after="120"/>
      </w:pPr>
      <w:r>
        <w:t xml:space="preserve">Példa: „Készíts egy TWI utasítást a CNC-01 géphez.”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User → Teams: </w:t>
      </w:r>
      <w:r>
        <w:t xml:space="preserve">Beírja a kérést a chat-be.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Layer 0 → Bot Service: </w:t>
      </w:r>
      <w:r>
        <w:t xml:space="preserve">Továbbítja az üzenetet + user token-t.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Layer 1 → APIM: </w:t>
      </w:r>
      <w:r>
        <w:t xml:space="preserve">Private Link-en, validálja a token-t, ellenőrzi az RBAC-t.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Layer 2 → Router Agent: </w:t>
      </w:r>
      <w:r>
        <w:t xml:space="preserve">Osztályozás → TWI use-case → TWI Agent Graph-hoz irányít.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TWI Agent — Intent recognition: </w:t>
      </w:r>
      <w:r>
        <w:t xml:space="preserve">Mi a cél? (generálás, szerkesztés, keresés)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TWI Agent — RAG retrieval: </w:t>
      </w:r>
      <w:r>
        <w:t xml:space="preserve">AI Search lekérdezés → relevancia score validáció.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Score &lt; küszöb? </w:t>
      </w:r>
      <w:r>
        <w:t xml:space="preserve">Megtagadás: „Nem találtam elegendő forrást. Töltsd fel a gépkönyvet.”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TWI Agent — Generation: </w:t>
      </w:r>
      <w:r>
        <w:t xml:space="preserve">Mistral Large (AI Foundry) → forrás hivatkozásokkal.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Confidence scoring: </w:t>
      </w:r>
      <w:r>
        <w:t xml:space="preserve">Alacsony pontszámú szekciók jelölése.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Human-in-the-loop interrupt: </w:t>
      </w:r>
      <w:r>
        <w:t xml:space="preserve">Adaptive Card: vázlat + források + confidence + „Jóváhagyom” gomb.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User jóváhagy: </w:t>
      </w:r>
      <w:r>
        <w:t xml:space="preserve">Szerkesztés React Tab-ban → „Ellenőriztem és jóváhagyom”.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Output: </w:t>
      </w:r>
      <w:r>
        <w:t xml:space="preserve">PDF generálás → SharePoint feltöltés Graph API-n. Audit log Cosmos DB-be.</w:t>
      </w:r>
    </w:p>
    <w:p>
      <w:pPr>
        <w:spacing w:after="200"/>
      </w:pPr>
    </w:p>
    <w:p>
      <w:pPr>
        <w:pStyle w:val="Heading1"/>
      </w:pPr>
      <w:r>
        <w:t xml:space="preserve">9. Költségmodell és költségkezelés</w:t>
      </w:r>
    </w:p>
    <w:p>
      <w:pPr>
        <w:spacing w:after="200"/>
      </w:pPr>
      <w:r>
        <w:t xml:space="preserve">Az agent vendor-nak értenie kell a költségstruktúrát, mert az agent tervezési döntései közvetlenül befolyásolják az ügyfél havi költségeit.</w:t>
      </w:r>
    </w:p>
    <w:p>
      <w:pPr>
        <w:pStyle w:val="Heading2"/>
      </w:pPr>
      <w:r>
        <w:t xml:space="preserve">9.1 Ügyfelenkénti TCO (MVP, single-tenant)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2000"/>
        <w:gridCol w:w="2000"/>
        <w:gridCol w:w="2000"/>
      </w:tblGrid>
      <w:tr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Alacsony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Közepes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Magas</w:t>
            </w:r>
          </w:p>
        </w:tc>
      </w:tr>
      <w:tr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Container Apps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~$55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~$100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~$250</w:t>
            </w:r>
          </w:p>
        </w:tc>
      </w:tr>
      <w:tr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 Search (S1)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$245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$490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$980</w:t>
            </w:r>
          </w:p>
        </w:tc>
      </w:tr>
      <w:tr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Cosmos DB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~$10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~$30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~$80</w:t>
            </w:r>
          </w:p>
        </w:tc>
      </w:tr>
      <w:tr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 Foundry (token)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~$25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~$100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~$500</w:t>
            </w:r>
          </w:p>
        </w:tc>
      </w:tr>
      <w:tr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Egyéb (Blob, KV, PE, Monitoring)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~$51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~$68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~$122</w:t>
            </w:r>
          </w:p>
        </w:tc>
      </w:tr>
      <w:tr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</w:rPr>
              <w:t xml:space="preserve">Infra összesen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</w:rPr>
              <w:t xml:space="preserve">~$386/hó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</w:rPr>
              <w:t xml:space="preserve">~$788/hó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</w:rPr>
              <w:t xml:space="preserve">~$1 932/hó</w:t>
            </w:r>
          </w:p>
        </w:tc>
      </w:tr>
      <w:tr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+ Managed service díj (30-40%)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~$155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~$315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~$770</w:t>
            </w:r>
          </w:p>
        </w:tc>
      </w:tr>
      <w:tr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</w:rPr>
              <w:t xml:space="preserve">Ügyfél összköltsége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</w:rPr>
              <w:t xml:space="preserve">~$541/hó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</w:rPr>
              <w:t xml:space="preserve">~$1 103/hó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</w:rPr>
              <w:t xml:space="preserve">~$2 702/hó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9.2 Költségoptimalizálási stratégiák</w:t>
      </w:r>
    </w:p>
    <w:p>
      <w:pPr>
        <w:spacing w:after="120"/>
      </w:pPr>
      <w:r>
        <w:t xml:space="preserve">Agent tervezéskor alkalmazandó elvek: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Intelligens model routing: </w:t>
      </w:r>
      <w:r>
        <w:t xml:space="preserve">Egyszerű feladatok GPT-4o-mini-hez, komplex reasoning frontier modellhez → 85% költségcsökkentés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Semantic caching: </w:t>
      </w:r>
      <w:r>
        <w:t xml:space="preserve">Hasonló kérések cache-ből → 20-40% hit rate, akár 69% költségcsökkentés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Overhead minimális tartása: </w:t>
      </w:r>
      <w:r>
        <w:t xml:space="preserve">Kb. 3 LLM hívás/kérés (router + specialist + formatting). Több = drágább.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Költség-tudás: </w:t>
      </w:r>
      <w:r>
        <w:t xml:space="preserve">Egyszerű Q&amp;A: $0.001-0.005/kérés. Összetett dokumentum generálás: $0.15-0.50/kérés. Tervezd ennek megfelelően.</w:t>
      </w:r>
    </w:p>
    <w:p>
      <w:pPr>
        <w:spacing w:after="200"/>
      </w:pPr>
    </w:p>
    <w:p>
      <w:pPr>
        <w:pStyle w:val="Heading1"/>
      </w:pPr>
      <w:r>
        <w:t xml:space="preserve">10. PoC és MVP idővonal</w:t>
      </w:r>
    </w:p>
    <w:p>
      <w:pPr>
        <w:pStyle w:val="Heading2"/>
      </w:pPr>
      <w:r>
        <w:t xml:space="preserve">10.1 PoC (1–2 hét) — architekturális proof</w:t>
      </w:r>
    </w:p>
    <w:p>
      <w:pPr>
        <w:spacing w:after="120"/>
      </w:pPr>
      <w:r>
        <w:t xml:space="preserve">A PoC célja: bizonyítani, hogy a core pipeline működik end-to-end.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13"/>
        <w:gridCol w:w="3413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Nap</w:t>
            </w:r>
          </w:p>
        </w:tc>
        <w:tc>
          <w:tcPr>
            <w:tcW w:type="dxa" w:w="4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Feladat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Eredmény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1–3</w:t>
            </w:r>
          </w:p>
        </w:tc>
        <w:tc>
          <w:tcPr>
            <w:tcW w:type="dxa" w:w="4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Bicep template: VNET + Container App + AI Foundry + AI Search + Cosmos DB + Blob + KV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Egy gombnyomásra települnek az Azure erőforrások (Sweden Central)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3–5</w:t>
            </w:r>
          </w:p>
        </w:tc>
        <w:tc>
          <w:tcPr>
            <w:tcW w:type="dxa" w:w="4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FastAPI backend + LangGraph agent váz: RAG retrieval + LLM generation + source citation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 endpoint-on működő TWI generálás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5–7</w:t>
            </w:r>
          </w:p>
        </w:tc>
        <w:tc>
          <w:tcPr>
            <w:tcW w:type="dxa" w:w="4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Teams Bot integráció (basic), Adaptive Card response, Entra ID app reg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Teams-ből elérhető a TWI agent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7–10</w:t>
            </w:r>
          </w:p>
        </w:tc>
        <w:tc>
          <w:tcPr>
            <w:tcW w:type="dxa" w:w="4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Mintaadat (3-5 gépkönyv), RAG index feltöltés, hallucináció-kezelés alap (refusal)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Demo-kész: TWI generálás valós adattal, forrás hivatkozással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1"/>
              <w:left w:val="single" w:color="E67E22" w:sz="6"/>
              <w:bottom w:val="single" w:color="E67E22" w:sz="1"/>
              <w:right w:val="single" w:color="E67E22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PoC scope — ami NINCS benne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Private Link full hardening (7 pont), TISAX dokumentáció, full hallucináció framework (confidence scoring, golden dataset), React Tab szerkesztő, PDF export SharePoint-ra, multi-tenancy, metered billing. Ezek az MVP-be tartoznak (6 hónap).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10.2 MVP fázisok (0–6 hónap)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26"/>
        <w:gridCol w:w="300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Fázis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Tartalom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Időkeret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1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Shared services kiemelés: API Gateway, LLM orchestráció, RAG pipeline, Entra ID multi-tenant app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1–12. hét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2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Plugin architektúra: use-case registry, TWI átalakítása plugin-ná, Router Agent, 2. use-case (training modul)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13–20. hét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3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Multi-tenancy: per-tenant adat izoláció, onboarding automatizálás, tenant admin dashboard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21–28. hét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4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Marketplace indulás: SaaS listázás, metered billing, 3. use-case, security review, Go Live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29–36. hét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11. Nyitott kérdések és ismert korlátozások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Téma</w:t>
            </w:r>
          </w:p>
        </w:tc>
        <w:tc>
          <w:tcPr>
            <w:tcW w:type="dxa" w:w="31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Probléma</w:t>
            </w:r>
          </w:p>
        </w:tc>
        <w:tc>
          <w:tcPr>
            <w:tcW w:type="dxa" w:w="31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Tervezett megoldás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Deny Assignment + AI dataActions</w:t>
            </w:r>
          </w:p>
        </w:tc>
        <w:tc>
          <w:tcPr>
            <w:tcW w:type="dxa" w:w="31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Managed App Deny Assignment blokkolja az AI Foundry hívásokat</w:t>
            </w:r>
          </w:p>
        </w:tc>
        <w:tc>
          <w:tcPr>
            <w:tcW w:type="dxa" w:w="31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MVP: AI szolg. külön resource group-ba, explicit RBAC-kel. Target: Customer Managed auth.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Cold start</w:t>
            </w:r>
          </w:p>
        </w:tc>
        <w:tc>
          <w:tcPr>
            <w:tcW w:type="dxa" w:w="31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Container Apps: 15-37 sec scale-to-zero</w:t>
            </w:r>
          </w:p>
        </w:tc>
        <w:tc>
          <w:tcPr>
            <w:tcW w:type="dxa" w:w="31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minReplicas: 1 (~$10/hó/app)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AI Search költség</w:t>
            </w:r>
          </w:p>
        </w:tc>
        <w:tc>
          <w:tcPr>
            <w:tcW w:type="dxa" w:w="31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$245/hó fix, nincs auto-scale</w:t>
            </w:r>
          </w:p>
        </w:tc>
        <w:tc>
          <w:tcPr>
            <w:tcW w:type="dxa" w:w="31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Target: pgvector (PostgreSQL) könnyebb ügyfeleknek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Semantic reranker</w:t>
            </w:r>
          </w:p>
        </w:tc>
        <w:tc>
          <w:tcPr>
            <w:tcW w:type="dxa" w:w="31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Csak szöveget dolgoz fel, vector embedding-eket nem</w:t>
            </w:r>
          </w:p>
        </w:tc>
        <w:tc>
          <w:tcPr>
            <w:tcW w:type="dxa" w:w="31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Gondos chunking stratégia + metadata szűrés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KEDA auth</w:t>
            </w:r>
          </w:p>
        </w:tc>
        <w:tc>
          <w:tcPr>
            <w:tcW w:type="dxa" w:w="31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Csak connection string, Managed Identity nem támogatott</w:t>
            </w:r>
          </w:p>
        </w:tc>
        <w:tc>
          <w:tcPr>
            <w:tcW w:type="dxa" w:w="31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Kompromisszum: connection string + Key Vault rotation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Teams SDK fragmentáció</w:t>
            </w:r>
          </w:p>
        </w:tc>
        <w:tc>
          <w:tcPr>
            <w:tcW w:type="dxa" w:w="31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 versenyző SDK (Teams, M365 Agents, AI Foundry Agent)</w:t>
            </w:r>
          </w:p>
        </w:tc>
        <w:tc>
          <w:tcPr>
            <w:tcW w:type="dxa" w:w="31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MVP: Teams SDK (Bot Framework). Monitor: M365 Agents SDK.</w:t>
            </w:r>
          </w:p>
        </w:tc>
      </w:tr>
    </w:tbl>
    <w:p>
      <w:pPr>
        <w:spacing w:after="400"/>
      </w:pPr>
    </w:p>
    <w:p>
      <w:pPr>
        <w:pBdr>
          <w:top w:val="single" w:color="2E86C1" w:sz="4" w:space="8"/>
        </w:pBdr>
        <w:spacing w:before="20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Kérdések?</w:t>
      </w:r>
    </w:p>
    <w:p>
      <w:pPr>
        <w:spacing w:after="80"/>
      </w:pPr>
      <w:r>
        <w:t xml:space="preserve">Ez a dokumentum az Architektúra terv v2.0 alapján készült. A technológiai döntések és a compliance kontrollok folyamatosan frissülnek — az aktuális verziót mindig a projekt repository-ban találod.</w:t>
      </w:r>
    </w:p>
    <w:p>
      <w:pPr>
        <w:spacing w:after="80"/>
      </w:pPr>
      <w:r>
        <w:rPr>
          <w:b/>
          <w:bCs/>
        </w:rPr>
        <w:t xml:space="preserve">agentize.eu</w:t>
      </w:r>
      <w:r>
        <w:t xml:space="preserve"> — AI &amp; Organizational Solutions</w:t>
      </w:r>
    </w:p>
    <w:p>
      <w:r>
        <w:rPr>
          <w:i/>
          <w:iCs/>
          <w:color w:val="2E86C1"/>
        </w:rPr>
        <w:t xml:space="preserve">v2.0 — 2026. február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2" w:space="4"/>
      </w:pBdr>
      <w:jc w:val="right"/>
    </w:pPr>
    <w:r>
      <w:rPr>
        <w:rFonts w:ascii="Arial" w:cs="Arial" w:eastAsia="Arial" w:hAnsi="Arial"/>
        <w:color w:val="2E86C1"/>
        <w:sz w:val="16"/>
        <w:szCs w:val="16"/>
      </w:rPr>
      <w:t xml:space="preserve">Bizalmas  |  </w:t>
    </w:r>
    <w:r>
      <w:rPr>
        <w:rFonts w:ascii="Arial" w:cs="Arial" w:eastAsia="Arial" w:hAnsi="Arial"/>
        <w:color w:val="2E86C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</w:pPr>
    <w:r>
      <w:rPr>
        <w:rFonts w:ascii="Arial" w:cs="Arial" w:eastAsia="Arial" w:hAnsi="Arial"/>
        <w:i/>
        <w:iCs/>
        <w:color w:val="2E86C1"/>
        <w:sz w:val="16"/>
        <w:szCs w:val="16"/>
      </w:rPr>
      <w:t xml:space="preserve">agentize.eu  |  Agent Vendor Guide  |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2026-02-23T22:02:04.044Z</dcterms:created>
  <dcterms:modified xsi:type="dcterms:W3CDTF">2026-02-23T22:02:04.045Z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