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i1a2mkoapgj" w:id="0"/>
      <w:bookmarkEnd w:id="0"/>
      <w:r w:rsidDel="00000000" w:rsidR="00000000" w:rsidRPr="00000000">
        <w:rPr>
          <w:rtl w:val="0"/>
        </w:rPr>
        <w:t xml:space="preserve">Testing RSU vitals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280" w:lineRule="auto"/>
        <w:rPr/>
      </w:pPr>
      <w:bookmarkStart w:colFirst="0" w:colLast="0" w:name="_fogzkh69fcwp" w:id="1"/>
      <w:bookmarkEnd w:id="1"/>
      <w:r w:rsidDel="00000000" w:rsidR="00000000" w:rsidRPr="00000000">
        <w:rPr>
          <w:rtl w:val="0"/>
        </w:rPr>
        <w:t xml:space="preserve">Test Case 3: The "Startup Millionaire" (Extreme Concentration)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isolates the net worth and concentration math, simulating a mid-level employee whose company stock recently skyrocketed, dwarfing their other assets.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Ticker/Shares:</w:t>
      </w:r>
      <w:r w:rsidDel="00000000" w:rsidR="00000000" w:rsidRPr="00000000">
        <w:rPr>
          <w:rtl w:val="0"/>
        </w:rPr>
        <w:t xml:space="preserve"> NVDA — 5,000 shares (Massive equity value)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Annual Gross Income:</w:t>
      </w:r>
      <w:r w:rsidDel="00000000" w:rsidR="00000000" w:rsidRPr="00000000">
        <w:rPr>
          <w:rtl w:val="0"/>
        </w:rPr>
        <w:t xml:space="preserve"> $150,000 (Mid-level income)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New York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Filing Status:</w:t>
      </w:r>
      <w:r w:rsidDel="00000000" w:rsidR="00000000" w:rsidRPr="00000000">
        <w:rPr>
          <w:rtl w:val="0"/>
        </w:rPr>
        <w:t xml:space="preserve"> Married Filing Jointly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Worth:</w:t>
      </w:r>
      <w:r w:rsidDel="00000000" w:rsidR="00000000" w:rsidRPr="00000000">
        <w:rPr>
          <w:rtl w:val="0"/>
        </w:rPr>
        <w:t xml:space="preserve"> $800,000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UI Outputs: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Concentration Gauge:</w:t>
      </w:r>
      <w:r w:rsidDel="00000000" w:rsidR="00000000" w:rsidRPr="00000000">
        <w:rPr>
          <w:rtl w:val="0"/>
        </w:rPr>
        <w:t xml:space="preserve"> Should be pinned to the extreme right (nearly 80%+ of net worth). The UI must scream "Danger" here.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Vesting Schedule:</w:t>
      </w:r>
      <w:r w:rsidDel="00000000" w:rsidR="00000000" w:rsidRPr="00000000">
        <w:rPr>
          <w:rtl w:val="0"/>
        </w:rPr>
        <w:t xml:space="preserve"> The Y-axis on the bar chart should scale cleanly to handle very high dollar amounts per vest without the labels overlapping or breaking the container layout.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2">
      <w:pPr>
        <w:pStyle w:val="Heading3"/>
        <w:spacing w:after="80" w:before="0" w:line="276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vxfwn0qncn4q" w:id="2"/>
      <w:bookmarkEnd w:id="2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Test Case 3: The Startup Millionaire (The Edge Case)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Y-axis scaled beautifully without breaking the container, which is a great UI win. However, we hit a fascinating edge case: the Concentration Gauge hit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123.7%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Mathematically, this happens because the unvested value of the 5,000 NVDA shares (~$989k) is larger than their current inputted Net Worth ($800k).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avoid user confusion, you might want to slightly tweak the tooltip or label to say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"Unvested RSUs represent [X]% of your current net worth"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add a toggle that asks if the $800k net worth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already includes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vested company stock. Either way, the UI handled the overflow perfectly by pinning the gauge in the red zone.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