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540"/>
        </w:trPr>
        <w:tc>
          <w:tcPr>
            <w:tcW w:type="dxa" w:w="23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32" w:after="0"/>
              <w:ind w:left="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60279E"/>
                <w:sz w:val="16"/>
              </w:rPr>
              <w:t>The Purple Book 2024</w:t>
            </w:r>
          </w:p>
        </w:tc>
        <w:tc>
          <w:tcPr>
            <w:tcW w:type="dxa" w:w="1436"/>
            <w:vMerge w:val="restart"/>
            <w:tcBorders/>
            <w:shd w:fill="f1f3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36" w:after="0"/>
              <w:ind w:left="1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Introduction</w:t>
            </w: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Overview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76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68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09" w:type="dxa"/>
            </w:tblPr>
            <w:tblGrid>
              <w:gridCol w:w="1480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c92c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FFFFFF"/>
                      <w:sz w:val="20"/>
                    </w:rPr>
                    <w:t>07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8636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818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Appendix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Glossary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90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748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Charts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7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60279E"/>
                <w:sz w:val="32"/>
              </w:rPr>
              <w:t>20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Funding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Claims and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Executive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history and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Insolvency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Risk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levy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schemes in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compensation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summary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data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demographics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funding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sensitivities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risk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reduction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assessment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32" w:after="0"/>
        <w:ind w:left="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A2D9A"/>
          <w:sz w:val="32"/>
        </w:rPr>
        <w:t xml:space="preserve"> continued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1511300</wp:posOffset>
            </wp:positionV>
            <wp:extent cx="17932400" cy="7543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0" cy="754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428" w:val="left"/>
        </w:tabs>
        <w:autoSpaceDE w:val="0"/>
        <w:widowControl/>
        <w:spacing w:line="228" w:lineRule="exact" w:before="488" w:after="238"/>
        <w:ind w:left="17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20"/>
        </w:rPr>
        <w:t xml:space="preserve">Figure 7.3 | Weighted average asset allocation in total assets </w:t>
      </w:r>
      <w:r>
        <w:tab/>
      </w:r>
      <w:r>
        <w:rPr>
          <w:rFonts w:ascii="Museo" w:hAnsi="Museo" w:eastAsia="Museo"/>
          <w:b/>
          <w:i w:val="0"/>
          <w:color w:val="CA2D9A"/>
          <w:sz w:val="20"/>
        </w:rPr>
        <w:t>Figure 7.4 | Asset allocation: simple averages</w:t>
      </w:r>
    </w:p>
    <w:p>
      <w:pPr>
        <w:sectPr>
          <w:pgSz w:w="29934" w:h="16838"/>
          <w:pgMar w:top="0" w:right="830" w:bottom="6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CA2D9A"/>
          <w:sz w:val="20"/>
        </w:rPr>
        <w:t>The proportions of assets invested in equities continues to decline.</w:t>
      </w:r>
    </w:p>
    <w:p>
      <w:pPr>
        <w:sectPr>
          <w:type w:val="continuous"/>
          <w:pgSz w:w="29934" w:h="16838"/>
          <w:pgMar w:top="0" w:right="830" w:bottom="644" w:left="850" w:header="720" w:footer="720" w:gutter="0"/>
          <w:cols w:num="2" w:equalWidth="0">
            <w:col w:w="6644" w:space="0"/>
            <w:col w:w="21610" w:space="0"/>
          </w:cols>
          <w:docGrid w:linePitch="360"/>
        </w:sectPr>
      </w:pPr>
    </w:p>
    <w:p>
      <w:pPr>
        <w:autoSpaceDN w:val="0"/>
        <w:tabs>
          <w:tab w:pos="1328" w:val="left"/>
          <w:tab w:pos="14924" w:val="left"/>
        </w:tabs>
        <w:autoSpaceDE w:val="0"/>
        <w:widowControl/>
        <w:spacing w:line="236" w:lineRule="exact" w:before="0" w:after="62"/>
        <w:ind w:left="666" w:right="5760" w:firstLine="0"/>
        <w:jc w:val="left"/>
      </w:pPr>
      <w:r>
        <w:rPr>
          <w:rFonts w:ascii="Museo" w:hAnsi="Museo" w:eastAsia="Museo"/>
          <w:b w:val="0"/>
          <w:i w:val="0"/>
          <w:color w:val="FFFFFF"/>
          <w:sz w:val="16"/>
        </w:rPr>
        <w:t xml:space="preserve">Asset class </w:t>
      </w:r>
      <w:r>
        <w:br/>
      </w:r>
      <w:r>
        <w:tab/>
      </w:r>
      <w:r>
        <w:rPr>
          <w:rFonts w:ascii="Museo" w:hAnsi="Museo" w:eastAsia="Museo"/>
          <w:b w:val="0"/>
          <w:i w:val="0"/>
          <w:color w:val="FFFFFF"/>
          <w:sz w:val="16"/>
        </w:rPr>
        <w:t xml:space="preserve">Breakdown of other investments </w:t>
      </w:r>
      <w:r>
        <w:tab/>
      </w:r>
      <w:r>
        <w:rPr>
          <w:rFonts w:ascii="Museo" w:hAnsi="Museo" w:eastAsia="Museo"/>
          <w:b w:val="0"/>
          <w:i w:val="0"/>
          <w:color w:val="FFFFFF"/>
          <w:sz w:val="16"/>
        </w:rPr>
        <w:t>Asset class</w:t>
      </w:r>
    </w:p>
    <w:p>
      <w:pPr>
        <w:sectPr>
          <w:type w:val="nextColumn"/>
          <w:pgSz w:w="29934" w:h="16838"/>
          <w:pgMar w:top="0" w:right="830" w:bottom="644" w:left="850" w:header="720" w:footer="720" w:gutter="0"/>
          <w:cols w:num="2" w:equalWidth="0">
            <w:col w:w="6644" w:space="0"/>
            <w:col w:w="216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220"/>
        </w:trPr>
        <w:tc>
          <w:tcPr>
            <w:tcW w:type="dxa" w:w="2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19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Other </w:t>
            </w:r>
          </w:p>
        </w:tc>
        <w:tc>
          <w:tcPr>
            <w:tcW w:type="dxa" w:w="2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18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Absolute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Insurance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Hedge funds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1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8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0" w:right="1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Other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Breakdown of other investments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Insurance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Hedge funds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</w:tr>
      <w:tr>
        <w:trPr>
          <w:trHeight w:hRule="exact" w:val="257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>Book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 dataset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2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investments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returns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policies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2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Absolute 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63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2006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61.1%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28.3%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10.6%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2.3%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4.3%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3.1%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3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investments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returns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policies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41.1%</w:t>
            </w:r>
          </w:p>
        </w:tc>
        <w:tc>
          <w:tcPr>
            <w:tcW w:type="dxa" w:w="10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20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40.1%</w:t>
            </w:r>
          </w:p>
        </w:tc>
        <w:tc>
          <w:tcPr>
            <w:tcW w:type="dxa" w:w="10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18.8%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4.1%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4.4%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1.6%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6.3%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52.6%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22.6%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24.8%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3.9%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2.1%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14.9%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3.6%</w:t>
            </w:r>
          </w:p>
        </w:tc>
      </w:tr>
      <w:tr>
        <w:trPr>
          <w:trHeight w:hRule="exact" w:val="56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3138"/>
            <w:gridSpan w:val="3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43.7%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32.6%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23.7%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4.9%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2.7%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11.8%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3.3%</w:t>
            </w:r>
          </w:p>
        </w:tc>
      </w:tr>
      <w:tr>
        <w:trPr>
          <w:trHeight w:hRule="exact" w:val="224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30.3%</w:t>
            </w:r>
          </w:p>
        </w:tc>
        <w:tc>
          <w:tcPr>
            <w:tcW w:type="dxa" w:w="10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2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51.3%</w:t>
            </w:r>
          </w:p>
        </w:tc>
        <w:tc>
          <w:tcPr>
            <w:tcW w:type="dxa" w:w="10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18.4%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2.1%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3138"/>
            <w:gridSpan w:val="3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36.8%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41.1%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22.1%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5.4%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3.7%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1.2%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1.5%</w:t>
            </w:r>
          </w:p>
        </w:tc>
      </w:tr>
      <w:tr>
        <w:trPr>
          <w:trHeight w:hRule="exact" w:val="23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29.0%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20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55.7%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15.3%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-0.9%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5.3%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3.3%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6.7%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0.8%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27.0%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59.0%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14.0%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-2.5%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7.0%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1.2%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34.5%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41.4%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24.1%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3.6%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3.7%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6.8%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0.7%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24.0%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62.8%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13.2%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-4.4%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5.0%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4.0%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0.3%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7.4%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32.4%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43.1%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24.5%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1.8%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3.3%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8.5%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1.4%</w:t>
            </w:r>
          </w:p>
        </w:tc>
      </w:tr>
      <w:tr>
        <w:trPr>
          <w:trHeight w:hRule="exact" w:val="56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20.4%</w:t>
            </w:r>
          </w:p>
        </w:tc>
        <w:tc>
          <w:tcPr>
            <w:tcW w:type="dxa" w:w="10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69.2%</w:t>
            </w:r>
          </w:p>
        </w:tc>
        <w:tc>
          <w:tcPr>
            <w:tcW w:type="dxa" w:w="10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10.4%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-7.2%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4.9%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5.0%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6.8%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0.8%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3138"/>
            <w:gridSpan w:val="3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30.4%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47.0%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22.7%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–0.8%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3.4%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9.4%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0.5%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</w:tr>
      <w:tr>
        <w:trPr>
          <w:trHeight w:hRule="exact" w:val="62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19.0%</w:t>
            </w:r>
          </w:p>
        </w:tc>
        <w:tc>
          <w:tcPr>
            <w:tcW w:type="dxa" w:w="143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72.0%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9.1%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-9.5%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4.7%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6.1%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27.8%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52.3%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19.9%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–3.2%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3.4%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9.7%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</w:tr>
      <w:tr>
        <w:trPr>
          <w:trHeight w:hRule="exact" w:val="68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19.5%</w:t>
            </w:r>
          </w:p>
        </w:tc>
        <w:tc>
          <w:tcPr>
            <w:tcW w:type="dxa" w:w="143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2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71.6%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8.9%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-8.8%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4.6%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6.8%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5.2%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58.0%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16.3%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–6.6%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3.2%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10.6%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 restated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18.8%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66.5%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14.7%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-3.3%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5.3%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7.3%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1.5%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27.1%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58.5%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14.4%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–7.5%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10.7%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6.0%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1.6%</w:t>
            </w:r>
          </w:p>
        </w:tc>
      </w:tr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15.5%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0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69.8%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14.7%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-5.4%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5.9%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9.7%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2.6%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1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23.1%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62.9%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14.0%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–10.8%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11.5%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6.7%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1.9%</w:t>
            </w:r>
          </w:p>
        </w:tc>
      </w:tr>
      <w:tr>
        <w:trPr>
          <w:trHeight w:hRule="exact" w:val="310"/>
        </w:trPr>
        <w:tc>
          <w:tcPr>
            <w:tcW w:type="dxa" w:w="6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figures may not sum to 100 per cent or the ‘Other investments’ total because of rounding.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17.8%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66.1%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16.1%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–8.9%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13.8%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5.2%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1.9%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type w:val="continuous"/>
          <w:pgSz w:w="29934" w:h="16838"/>
          <w:pgMar w:top="0" w:right="830" w:bottom="6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70" w:right="288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category ‘bonds’ represents those physically held as well as other investments whose economic characteristics resemble bonds, such as LDI. </w:t>
      </w:r>
      <w:r>
        <w:rPr>
          <w:rFonts w:ascii="Museo" w:hAnsi="Museo" w:eastAsia="Museo"/>
          <w:b w:val="0"/>
          <w:i w:val="0"/>
          <w:color w:val="415364"/>
          <w:sz w:val="20"/>
        </w:rPr>
        <w:t xml:space="preserve">From 2023 the categories ‘insurance policies’ and ‘hedge funds’ have been discontinued. There became two new categories: ‘diversified growth funds’ and </w:t>
      </w:r>
      <w:r>
        <w:rPr>
          <w:rFonts w:ascii="Museo" w:hAnsi="Museo" w:eastAsia="Museo"/>
          <w:b w:val="0"/>
          <w:i w:val="0"/>
          <w:color w:val="415364"/>
          <w:sz w:val="20"/>
        </w:rPr>
        <w:t>‘absolute returns’.</w:t>
      </w:r>
    </w:p>
    <w:p>
      <w:pPr>
        <w:autoSpaceDN w:val="0"/>
        <w:autoSpaceDE w:val="0"/>
        <w:widowControl/>
        <w:spacing w:line="240" w:lineRule="exact" w:before="160" w:after="0"/>
        <w:ind w:left="170" w:right="576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weighted average proportion of assets held in cash and deposits is negative. Negative cash holdings are likely to relate to investments such as swaps </w:t>
      </w:r>
      <w:r>
        <w:rPr>
          <w:rFonts w:ascii="Museo" w:hAnsi="Museo" w:eastAsia="Museo"/>
          <w:b w:val="0"/>
          <w:i w:val="0"/>
          <w:color w:val="415364"/>
          <w:sz w:val="20"/>
        </w:rPr>
        <w:t>and repurchase agreements held as part of LDI strategies.</w:t>
      </w:r>
    </w:p>
    <w:p>
      <w:pPr>
        <w:autoSpaceDN w:val="0"/>
        <w:autoSpaceDE w:val="0"/>
        <w:widowControl/>
        <w:spacing w:line="224" w:lineRule="exact" w:before="178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‘–‘ indicates either that schemes may have been invested in these asset classes but the percentages could not be determined from the data held at the time, </w:t>
      </w:r>
    </w:p>
    <w:p>
      <w:pPr>
        <w:sectPr>
          <w:type w:val="continuous"/>
          <w:pgSz w:w="29934" w:h="16838"/>
          <w:pgMar w:top="0" w:right="830" w:bottom="644" w:left="850" w:header="720" w:footer="720" w:gutter="0"/>
          <w:cols w:num="2" w:equalWidth="0">
            <w:col w:w="14090" w:space="0"/>
            <w:col w:w="1416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338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 xml:space="preserve">Note: figures may not sum to 100 per cent or the ‘Other investments’ total because of rounding. </w:t>
      </w:r>
    </w:p>
    <w:p>
      <w:pPr>
        <w:autoSpaceDN w:val="0"/>
        <w:autoSpaceDE w:val="0"/>
        <w:widowControl/>
        <w:spacing w:line="240" w:lineRule="exact" w:before="178" w:after="0"/>
        <w:ind w:left="338" w:right="576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From 2023 the categories ‘insurance policies’ and ‘hedge funds’ have been discontinued. There are two new categories: ‘diversified growth funds’ and </w:t>
      </w:r>
      <w:r>
        <w:rPr>
          <w:rFonts w:ascii="Museo" w:hAnsi="Museo" w:eastAsia="Museo"/>
          <w:b w:val="0"/>
          <w:i w:val="0"/>
          <w:color w:val="415364"/>
          <w:sz w:val="20"/>
        </w:rPr>
        <w:t>‘absolute returns’.</w:t>
      </w:r>
    </w:p>
    <w:p>
      <w:pPr>
        <w:autoSpaceDN w:val="0"/>
        <w:autoSpaceDE w:val="0"/>
        <w:widowControl/>
        <w:spacing w:line="240" w:lineRule="exact" w:before="170" w:after="0"/>
        <w:ind w:left="338" w:right="576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simple average proportion of assets held in cash and deposits being negative represents a large number of schemes with significant negative cash </w:t>
      </w:r>
      <w:r>
        <w:rPr>
          <w:rFonts w:ascii="Museo" w:hAnsi="Museo" w:eastAsia="Museo"/>
          <w:b w:val="0"/>
          <w:i w:val="0"/>
          <w:color w:val="415364"/>
          <w:sz w:val="20"/>
        </w:rPr>
        <w:t xml:space="preserve">holdings which are likely to be related to investments such as </w:t>
      </w:r>
      <w:r>
        <w:rPr>
          <w:rFonts w:ascii="Museo" w:hAnsi="Museo" w:eastAsia="Museo"/>
          <w:b w:val="0"/>
          <w:i w:val="0"/>
          <w:color w:val="CA2D9A"/>
          <w:sz w:val="20"/>
        </w:rPr>
        <w:t>swaps</w:t>
      </w:r>
      <w:r>
        <w:rPr>
          <w:rFonts w:ascii="Museo" w:hAnsi="Museo" w:eastAsia="Museo"/>
          <w:b w:val="0"/>
          <w:i w:val="0"/>
          <w:color w:val="415364"/>
          <w:sz w:val="20"/>
        </w:rPr>
        <w:t xml:space="preserve"> and </w:t>
      </w:r>
      <w:r>
        <w:rPr>
          <w:rFonts w:ascii="Museo" w:hAnsi="Museo" w:eastAsia="Museo"/>
          <w:b w:val="0"/>
          <w:i w:val="0"/>
          <w:color w:val="CA2D9A"/>
          <w:sz w:val="20"/>
        </w:rPr>
        <w:t>repurchase agreements</w:t>
      </w:r>
      <w:r>
        <w:rPr>
          <w:rFonts w:ascii="Museo" w:hAnsi="Museo" w:eastAsia="Museo"/>
          <w:b w:val="0"/>
          <w:i w:val="0"/>
          <w:color w:val="415364"/>
          <w:sz w:val="20"/>
        </w:rPr>
        <w:t>.</w:t>
      </w:r>
    </w:p>
    <w:p>
      <w:pPr>
        <w:autoSpaceDN w:val="0"/>
        <w:autoSpaceDE w:val="0"/>
        <w:widowControl/>
        <w:spacing w:line="224" w:lineRule="exact" w:before="186" w:after="16"/>
        <w:ind w:left="338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‘–‘ indicates either that schemes may have been invested in these asset classes but the percentages could not be determined from the data held at the time, </w:t>
      </w:r>
    </w:p>
    <w:p>
      <w:pPr>
        <w:sectPr>
          <w:type w:val="nextColumn"/>
          <w:pgSz w:w="29934" w:h="16838"/>
          <w:pgMar w:top="0" w:right="830" w:bottom="644" w:left="850" w:header="720" w:footer="720" w:gutter="0"/>
          <w:cols w:num="2" w:equalWidth="0">
            <w:col w:w="14090" w:space="0"/>
            <w:col w:w="141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230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or because the category is new or no longer exists.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12" w:after="0"/>
              <w:ind w:left="0" w:right="4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4" w:after="0"/>
              <w:ind w:left="0" w:right="3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78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13%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10%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2" w:after="0"/>
              <w:ind w:left="0" w:right="4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2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or because the category is new or no longer exists.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72" w:after="0"/>
              <w:ind w:left="0" w:right="4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7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9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36" w:after="0"/>
              <w:ind w:left="0" w:right="3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</w:tr>
      <w:tr>
        <w:trPr>
          <w:trHeight w:hRule="exact" w:val="400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9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982"/>
            <w:gridSpan w:val="5"/>
            <w:tcBorders>
              <w:end w:sz="45.600000000000136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11%</w:t>
            </w:r>
          </w:p>
        </w:tc>
        <w:tc>
          <w:tcPr>
            <w:tcW w:type="dxa" w:w="958"/>
            <w:tcBorders>
              <w:start w:sz="45.600000000000136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5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380"/>
            <w:gridSpan w:val="3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3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980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5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5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70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56%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6" w:after="0"/>
              <w:ind w:left="0" w:right="3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0" w:after="0"/>
              <w:ind w:left="0" w:right="4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63%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72%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72%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2" w:after="0"/>
              <w:ind w:left="0" w:right="4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67%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2" w:after="0"/>
              <w:ind w:left="1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70%</w:t>
            </w:r>
          </w:p>
        </w:tc>
        <w:tc>
          <w:tcPr>
            <w:tcW w:type="dxa" w:w="5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10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4" w:after="0"/>
              <w:ind w:left="0" w:right="42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43%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7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52%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58%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63%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78" w:after="0"/>
              <w:ind w:left="0" w:right="3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66%</w:t>
            </w:r>
          </w:p>
        </w:tc>
      </w:tr>
      <w:tr>
        <w:trPr>
          <w:trHeight w:hRule="exact" w:val="178"/>
        </w:trPr>
        <w:tc>
          <w:tcPr>
            <w:tcW w:type="dxa" w:w="48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045"/>
            <w:gridSpan w:val="5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7063"/>
            <w:gridSpan w:val="7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94" w:after="0"/>
              <w:ind w:left="14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8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880"/>
            <w:vMerge w:val="restart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980"/>
            <w:vMerge w:val="restart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0" w:after="0"/>
              <w:ind w:left="0" w:right="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0" w:right="5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67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8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706"/>
            <w:gridSpan w:val="2"/>
            <w:tcBorders>
              <w:end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4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1814"/>
            <w:gridSpan w:val="3"/>
            <w:vMerge w:val="restart"/>
            <w:tcBorders>
              <w:start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40%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5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1009"/>
            <w:vMerge/>
            <w:tcBorders/>
          </w:tcPr>
          <w:p/>
        </w:tc>
        <w:tc>
          <w:tcPr>
            <w:tcW w:type="dxa" w:w="706"/>
            <w:gridSpan w:val="2"/>
            <w:tcBorders>
              <w:end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8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3027"/>
            <w:gridSpan w:val="3"/>
            <w:vMerge/>
            <w:tcBorders>
              <w:start w:sz="45.60000000000002" w:val="single" w:color="#0074C7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54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29%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90" w:after="0"/>
              <w:ind w:left="0" w:right="3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0" w:after="0"/>
              <w:ind w:left="0" w:right="4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8" w:after="0"/>
              <w:ind w:left="0" w:right="4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2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70" w:after="0"/>
              <w:ind w:left="0" w:right="4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32%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7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26%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5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2" w:after="0"/>
              <w:ind w:left="0" w:right="3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</w:tr>
      <w:tr>
        <w:trPr>
          <w:trHeight w:hRule="exact" w:val="68"/>
        </w:trPr>
        <w:tc>
          <w:tcPr>
            <w:tcW w:type="dxa" w:w="48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2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7063"/>
            <w:gridSpan w:val="7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880"/>
            <w:vMerge w:val="restart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53%</w:t>
            </w:r>
          </w:p>
        </w:tc>
        <w:tc>
          <w:tcPr>
            <w:tcW w:type="dxa" w:w="980"/>
            <w:vMerge w:val="restart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4" w:after="0"/>
              <w:ind w:left="0" w:right="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0" w:right="5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37%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126"/>
            <w:gridSpan w:val="3"/>
            <w:tcBorders>
              <w:end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3714"/>
            <w:gridSpan w:val="4"/>
            <w:tcBorders>
              <w:start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9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6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2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3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 restated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11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</w:tr>
      <w:tr>
        <w:trPr>
          <w:trHeight w:hRule="exact" w:val="216"/>
        </w:trPr>
        <w:tc>
          <w:tcPr>
            <w:tcW w:type="dxa" w:w="1982"/>
            <w:gridSpan w:val="5"/>
            <w:tcBorders>
              <w:end w:sz="45.600000000000136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2006</w:t>
            </w:r>
          </w:p>
        </w:tc>
        <w:tc>
          <w:tcPr>
            <w:tcW w:type="dxa" w:w="958"/>
            <w:tcBorders>
              <w:start w:sz="45.600000000000136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380"/>
            <w:gridSpan w:val="3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2006</w:t>
            </w:r>
          </w:p>
        </w:tc>
        <w:tc>
          <w:tcPr>
            <w:tcW w:type="dxa" w:w="980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1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Equities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Bonds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Other investments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56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Year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Equities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Bonds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1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Other investments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48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Year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Note: figures may not sum to 100 per cent because of rounding.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figures may not sum to 100 per cent because of rounding.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29934" w:h="16838"/>
          <w:pgMar w:top="0" w:right="830" w:bottom="644" w:left="85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540"/>
        </w:trPr>
        <w:tc>
          <w:tcPr>
            <w:tcW w:type="dxa" w:w="23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32" w:after="0"/>
              <w:ind w:left="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60279E"/>
                <w:sz w:val="16"/>
              </w:rPr>
              <w:t>The Purple Book 2024</w:t>
            </w:r>
          </w:p>
        </w:tc>
        <w:tc>
          <w:tcPr>
            <w:tcW w:type="dxa" w:w="1436"/>
            <w:vMerge w:val="restart"/>
            <w:tcBorders/>
            <w:shd w:fill="f1f3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36" w:after="0"/>
              <w:ind w:left="1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Introduction</w:t>
            </w: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Overview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76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68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09" w:type="dxa"/>
            </w:tblPr>
            <w:tblGrid>
              <w:gridCol w:w="1480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c92c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FFFFFF"/>
                      <w:sz w:val="20"/>
                    </w:rPr>
                    <w:t>07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8636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818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Appendix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Glossary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90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748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Charts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7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60279E"/>
                <w:sz w:val="32"/>
              </w:rPr>
              <w:t>21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Funding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Claims and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Executive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history and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Insolvency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Risk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levy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schemes in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compensation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summary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data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demographics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funding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sensitivities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risk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reduction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assessment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32" w:after="506"/>
        <w:ind w:left="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A2D9A"/>
          <w:sz w:val="32"/>
        </w:rPr>
        <w:t xml:space="preserve"> continued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1524000</wp:posOffset>
            </wp:positionV>
            <wp:extent cx="17932400" cy="6286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0" cy="6286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9934" w:h="16838"/>
          <w:pgMar w:top="0" w:right="83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170" w:right="2592" w:firstLine="0"/>
        <w:jc w:val="left"/>
      </w:pPr>
      <w:r>
        <w:rPr>
          <w:rFonts w:ascii="Museo" w:hAnsi="Museo" w:eastAsia="Museo"/>
          <w:b/>
          <w:i w:val="0"/>
          <w:color w:val="CA2D9A"/>
          <w:sz w:val="20"/>
        </w:rPr>
        <w:t xml:space="preserve">Figure 7.5 | Bond splits – high-level breakdown </w:t>
      </w:r>
      <w:r>
        <w:br/>
      </w:r>
      <w:r>
        <w:rPr>
          <w:rFonts w:ascii="Museo" w:hAnsi="Museo" w:eastAsia="Museo"/>
          <w:b w:val="0"/>
          <w:i w:val="0"/>
          <w:color w:val="CA2D9A"/>
          <w:sz w:val="20"/>
        </w:rPr>
        <w:t>The proportions of the high-level types of bonds have remained relatively stable compared to last year.</w:t>
      </w:r>
    </w:p>
    <w:p>
      <w:pPr>
        <w:sectPr>
          <w:type w:val="continuous"/>
          <w:pgSz w:w="29934" w:h="16838"/>
          <w:pgMar w:top="0" w:right="830" w:bottom="1440" w:left="850" w:header="720" w:footer="720" w:gutter="0"/>
          <w:cols w:num="2" w:equalWidth="0">
            <w:col w:w="11774" w:space="0"/>
            <w:col w:w="16480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186"/>
        <w:ind w:left="2654" w:right="432" w:firstLine="0"/>
        <w:jc w:val="left"/>
      </w:pPr>
      <w:r>
        <w:rPr>
          <w:rFonts w:ascii="Museo" w:hAnsi="Museo" w:eastAsia="Museo"/>
          <w:b/>
          <w:i w:val="0"/>
          <w:color w:val="CA2D9A"/>
          <w:sz w:val="20"/>
        </w:rPr>
        <w:t xml:space="preserve">Figure 7.6 | Bond splits – granular breakdown of </w:t>
      </w:r>
      <w:r>
        <w:rPr>
          <w:rFonts w:ascii="Museo" w:hAnsi="Museo" w:eastAsia="Museo"/>
          <w:b/>
          <w:i/>
          <w:color w:val="CA2D9A"/>
          <w:sz w:val="20"/>
        </w:rPr>
        <w:t>The Purple Book 2024</w:t>
      </w:r>
      <w:r>
        <w:rPr>
          <w:rFonts w:ascii="Museo" w:hAnsi="Museo" w:eastAsia="Museo"/>
          <w:b/>
          <w:i w:val="0"/>
          <w:color w:val="CA2D9A"/>
          <w:sz w:val="20"/>
        </w:rPr>
        <w:t xml:space="preserve"> dataset </w:t>
      </w:r>
      <w:r>
        <w:br/>
      </w:r>
      <w:r>
        <w:rPr>
          <w:rFonts w:ascii="Museo" w:hAnsi="Museo" w:eastAsia="Museo"/>
          <w:b w:val="0"/>
          <w:i w:val="0"/>
          <w:color w:val="CA2D9A"/>
          <w:sz w:val="20"/>
        </w:rPr>
        <w:t xml:space="preserve">Government fixed-interest and index-linked bonds are mostly long-dated. Investment grade corporate bond proportions are balanced between territory </w:t>
      </w:r>
      <w:r>
        <w:rPr>
          <w:rFonts w:ascii="Museo" w:hAnsi="Museo" w:eastAsia="Museo"/>
          <w:b w:val="0"/>
          <w:i w:val="0"/>
          <w:color w:val="CA2D9A"/>
          <w:sz w:val="20"/>
        </w:rPr>
        <w:t>and term.</w:t>
      </w:r>
    </w:p>
    <w:p>
      <w:pPr>
        <w:sectPr>
          <w:type w:val="nextColumn"/>
          <w:pgSz w:w="29934" w:h="16838"/>
          <w:pgMar w:top="0" w:right="830" w:bottom="1440" w:left="850" w:header="720" w:footer="720" w:gutter="0"/>
          <w:cols w:num="2" w:equalWidth="0">
            <w:col w:w="11774" w:space="0"/>
            <w:col w:w="164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</w:tblGrid>
      <w:tr>
        <w:trPr>
          <w:trHeight w:hRule="exact" w:val="234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0" w:right="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Government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Index-linked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2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Government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Simple average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24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Index-linked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 category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Tier 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Short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2" w:after="0"/>
              <w:ind w:left="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4" w:after="0"/>
              <w:ind w:left="3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Short and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2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Long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2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Unassigned*</w:t>
            </w:r>
          </w:p>
        </w:tc>
      </w:tr>
      <w:tr>
        <w:trPr>
          <w:trHeight w:hRule="exact" w:val="246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8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3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3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2008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33.2%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32.6%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33.9%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47.2%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33.0%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19.8%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Medium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medium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Government fixed-interest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19.5%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0.4%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–1.4%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2.5%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18.0%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0.0%</w:t>
            </w:r>
          </w:p>
        </w:tc>
      </w:tr>
      <w:tr>
        <w:trPr>
          <w:trHeight w:hRule="exact" w:val="24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19.6%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44.3%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36.1%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31.2%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21.7%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21.9%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33.7%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44.4%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24.4%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49.0%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26.6%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Index-linked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45.5%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0.5%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4.5%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13.8%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26.7%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0.0%</w:t>
            </w:r>
          </w:p>
        </w:tc>
      </w:tr>
      <w:tr>
        <w:trPr>
          <w:trHeight w:hRule="exact" w:val="28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24.1%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31.4%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44.5%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25.9%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46.8%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27.3%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Corporate fixed-interest, of which: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35.0%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58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Investment grade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0.4%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0.4%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4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24.1%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28.8%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47.1%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27.2%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42.1%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30.8%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25.4%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28.4%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46.2%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29.0%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38.9%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32.1%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UK investment grade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11.5%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5.5%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6.0%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25.9%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28.0%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46.1%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29.4%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36.1%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34.6%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Overseas investment grade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10.5%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6.4%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4.1%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56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Sub-investment grade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5.3%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9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4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44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24.6%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28.2%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47.2%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30.4%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34.8%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34.8%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22.0%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30.2%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47.8%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30.2%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35.7%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34.1%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Private debt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7.3%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 restated*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19.1%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37.6%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43.3%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25.6%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36.9%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37.5%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43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Total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100%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90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1.3%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3.1%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37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16.3%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11.9%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23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54.8%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138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0.0%</w:t>
            </w:r>
          </w:p>
        </w:tc>
      </w:tr>
      <w:tr>
        <w:trPr>
          <w:trHeight w:hRule="exact" w:val="52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7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3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* ‘Unassigned’ is generally where a scheme is in tiers 2 or 3 but did not provide the granular breakdown.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19.5%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35.0%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45.5%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27.6%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35.3%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37.1%</w:t>
            </w:r>
          </w:p>
        </w:tc>
        <w:tc>
          <w:tcPr>
            <w:tcW w:type="dxa" w:w="5652"/>
            <w:gridSpan w:val="3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* Weighted average only.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0" w:after="0"/>
              <w:ind w:left="2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Weighted average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7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8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50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the rows may not sum to 100 per cent because of rounding.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5652"/>
            <w:gridSpan w:val="3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7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4" w:after="0"/>
              <w:ind w:left="8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22" w:after="22"/>
        <w:ind w:left="588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rHeight w:hRule="exact" w:val="32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12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4" w:after="0"/>
              <w:ind w:left="2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8" w:after="0"/>
              <w:ind w:left="0" w:right="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36%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4" w:after="0"/>
              <w:ind w:left="0" w:right="5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0" w:after="0"/>
              <w:ind w:left="28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4" w:after="0"/>
              <w:ind w:left="6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46%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7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46%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48%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30" w:after="0"/>
              <w:ind w:left="0" w:right="4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43%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2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45%</w:t>
            </w:r>
          </w:p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30</w:t>
            </w:r>
          </w:p>
        </w:tc>
        <w:tc>
          <w:tcPr>
            <w:tcW w:type="dxa" w:w="37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80" w:after="0"/>
              <w:ind w:left="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Investment grade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8" w:after="0"/>
              <w:ind w:left="0" w:right="9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30" w:after="0"/>
              <w:ind w:left="0" w:right="6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</w:tr>
      <w:tr>
        <w:trPr>
          <w:trHeight w:hRule="exact" w:val="580"/>
        </w:trPr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94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6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1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38" w:after="0"/>
              <w:ind w:left="0" w:right="3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25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38" w:after="0"/>
              <w:ind w:left="0" w:right="10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3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</w:t>
            </w:r>
          </w:p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8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54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8" w:after="0"/>
              <w:ind w:left="2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31%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2" w:after="0"/>
              <w:ind w:left="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29%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4" w:after="0"/>
              <w:ind w:left="0" w:right="4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38%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4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35%</w:t>
            </w:r>
          </w:p>
        </w:tc>
        <w:tc>
          <w:tcPr>
            <w:tcW w:type="dxa" w:w="1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2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1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3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2%</w:t>
            </w:r>
          </w:p>
        </w:tc>
        <w:tc>
          <w:tcPr>
            <w:tcW w:type="dxa" w:w="25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6" w:after="0"/>
              <w:ind w:left="0" w:right="10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4%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3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664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30" w:after="0"/>
              <w:ind w:left="2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6" w:after="0"/>
              <w:ind w:left="0" w:right="5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2" w:after="0"/>
              <w:ind w:left="2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2" w:after="0"/>
              <w:ind w:left="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6" w:after="0"/>
              <w:ind w:left="0" w:right="4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26%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70" w:after="0"/>
              <w:ind w:left="0" w:right="4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1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-10</w:t>
            </w:r>
          </w:p>
        </w:tc>
        <w:tc>
          <w:tcPr>
            <w:tcW w:type="dxa" w:w="16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2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Fixed-interest</w:t>
            </w:r>
          </w:p>
        </w:tc>
        <w:tc>
          <w:tcPr>
            <w:tcW w:type="dxa" w:w="2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4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Index-linked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UK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Overseas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Sub-investment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0" w:right="3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Private debt</w:t>
            </w:r>
          </w:p>
        </w:tc>
      </w:tr>
      <w:tr>
        <w:trPr>
          <w:trHeight w:hRule="exact" w:val="217"/>
        </w:trPr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(tier 1 only)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investment grade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investment grade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8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grade</w:t>
            </w:r>
          </w:p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40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(tiers 2 &amp; 3)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(tiers 2 &amp; 3)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37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44" w:after="0"/>
              <w:ind w:left="89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Government bonds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26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3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36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 restated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Tier 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57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4" w:after="0"/>
              <w:ind w:left="25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Corporate bonds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8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2008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4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Long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4" w:after="0"/>
              <w:ind w:left="0" w:right="558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Year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All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Short</w:t>
            </w:r>
          </w:p>
        </w:tc>
        <w:tc>
          <w:tcPr>
            <w:tcW w:type="dxa" w:w="1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Medium</w:t>
            </w:r>
          </w:p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Short and Medium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4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Government fixed-interest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Corporate fixed-interest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Index-linked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4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Source: PPF</w:t>
      </w:r>
    </w:p>
    <w:p>
      <w:pPr>
        <w:autoSpaceDN w:val="0"/>
        <w:autoSpaceDE w:val="0"/>
        <w:widowControl/>
        <w:spacing w:line="178" w:lineRule="exact" w:before="78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Note: figures may not sum to 100 per cent because of rounding.</w:t>
      </w:r>
    </w:p>
    <w:p>
      <w:pPr>
        <w:sectPr>
          <w:type w:val="continuous"/>
          <w:pgSz w:w="29934" w:h="16838"/>
          <w:pgMar w:top="0" w:right="83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0</wp:posOffset>
            </wp:positionV>
            <wp:extent cx="15951200" cy="800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1524000</wp:posOffset>
            </wp:positionV>
            <wp:extent cx="18478500" cy="856127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0" cy="856127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240"/>
        </w:trPr>
        <w:tc>
          <w:tcPr>
            <w:tcW w:type="dxa" w:w="20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32" w:after="0"/>
              <w:ind w:left="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60279E"/>
                <w:sz w:val="16"/>
              </w:rPr>
              <w:t>The Purple Book 2024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Introduction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Overview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8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01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67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02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103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03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2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93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05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31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06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3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FFFFFF"/>
                <w:sz w:val="20"/>
              </w:rPr>
              <w:t>07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5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08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32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94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11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19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12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Appendix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Glossary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0" w:after="0"/>
              <w:ind w:left="0" w:right="6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Charts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4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60279E"/>
                <w:sz w:val="32"/>
              </w:rPr>
              <w:t>22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Funding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Claims 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Executive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The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history 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Insolvency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3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Risk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levy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schemes in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compensation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summary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data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demographics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funding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sensitivities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risk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reduction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assessment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66" w:after="446"/>
        <w:ind w:left="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A2D9A"/>
          <w:sz w:val="32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rPr>
          <w:trHeight w:hRule="exact" w:val="970"/>
        </w:trPr>
        <w:tc>
          <w:tcPr>
            <w:tcW w:type="dxa" w:w="14040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0" w:right="144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CA2D9A"/>
                <w:sz w:val="20"/>
              </w:rPr>
              <w:t xml:space="preserve">Figure 7.7 | Equity splits </w:t>
            </w:r>
            <w:r>
              <w:br/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 xml:space="preserve">Within equities, the proportion invested in UK equities continued to fall, but over the last year there was a sharper drop in the proportion invested in overseas </w:t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>equities, in favour of private or unquoted equity, whose proportion has risen to over 40 per cent.</w:t>
            </w:r>
          </w:p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318" w:right="864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CA2D9A"/>
                <w:sz w:val="20"/>
              </w:rPr>
              <w:t xml:space="preserve">Figure 7.8 | Weighted average asset allocation of schemes by asset size </w:t>
            </w:r>
            <w:r>
              <w:br/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 xml:space="preserve">Schemes with assets less than £10 million have a lower proportion of their assets invested in bonds, with a higher proportion invested in annuities </w:t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>and equities.</w:t>
            </w:r>
          </w:p>
        </w:tc>
      </w:tr>
      <w:tr>
        <w:trPr>
          <w:trHeight w:hRule="exact" w:val="640"/>
        </w:trPr>
        <w:tc>
          <w:tcPr>
            <w:tcW w:type="dxa" w:w="54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2" w:after="0"/>
              <w:ind w:left="0" w:right="1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86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2" w:after="0"/>
              <w:ind w:left="0" w:right="28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Simple average</w:t>
            </w:r>
          </w:p>
        </w:tc>
        <w:tc>
          <w:tcPr>
            <w:tcW w:type="dxa" w:w="81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0" w:after="0"/>
              <w:ind w:left="0" w:right="1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5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0" w:after="0"/>
              <w:ind w:left="0" w:right="29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</w:tr>
      <w:tr>
        <w:trPr>
          <w:trHeight w:hRule="exact" w:val="280"/>
        </w:trPr>
        <w:tc>
          <w:tcPr>
            <w:tcW w:type="dxa" w:w="421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Overseas quoted </w:t>
            </w:r>
          </w:p>
        </w:tc>
        <w:tc>
          <w:tcPr>
            <w:tcW w:type="dxa" w:w="120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Developed </w:t>
            </w:r>
          </w:p>
        </w:tc>
        <w:tc>
          <w:tcPr>
            <w:tcW w:type="dxa" w:w="21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3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Emerging </w:t>
            </w:r>
          </w:p>
        </w:tc>
        <w:tc>
          <w:tcPr>
            <w:tcW w:type="dxa" w:w="254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Overseas quoted </w:t>
            </w:r>
          </w:p>
        </w:tc>
        <w:tc>
          <w:tcPr>
            <w:tcW w:type="dxa" w:w="12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Developed </w:t>
            </w:r>
          </w:p>
        </w:tc>
        <w:tc>
          <w:tcPr>
            <w:tcW w:type="dxa" w:w="26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2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Emerging 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Asset size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4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Absolute returns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7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</w:tr>
      <w:tr>
        <w:trPr>
          <w:trHeight w:hRule="exact" w:val="22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276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(tier 1 only </w:t>
            </w:r>
          </w:p>
        </w:tc>
        <w:tc>
          <w:tcPr>
            <w:tcW w:type="dxa" w:w="1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7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Unquoted/ </w:t>
            </w:r>
          </w:p>
        </w:tc>
        <w:tc>
          <w:tcPr>
            <w:tcW w:type="dxa" w:w="194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(tier 1 only </w:t>
            </w:r>
          </w:p>
        </w:tc>
        <w:tc>
          <w:tcPr>
            <w:tcW w:type="dxa" w:w="12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2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4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Unquoted/ 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Under £5m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21.6%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52.5%</w:t>
            </w:r>
          </w:p>
        </w:tc>
        <w:tc>
          <w:tcPr>
            <w:tcW w:type="dxa" w:w="14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-3.4%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2.9%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16.8%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2.9%</w:t>
            </w:r>
          </w:p>
        </w:tc>
      </w:tr>
      <w:tr>
        <w:trPr>
          <w:trHeight w:hRule="exact" w:val="28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2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UK quoted</w:t>
            </w:r>
          </w:p>
        </w:tc>
        <w:tc>
          <w:tcPr>
            <w:tcW w:type="dxa" w:w="12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 from 2023)</w:t>
            </w:r>
          </w:p>
        </w:tc>
        <w:tc>
          <w:tcPr>
            <w:tcW w:type="dxa" w:w="13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Private</w:t>
            </w:r>
          </w:p>
        </w:tc>
        <w:tc>
          <w:tcPr>
            <w:tcW w:type="dxa" w:w="11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UK quoted</w:t>
            </w:r>
          </w:p>
        </w:tc>
        <w:tc>
          <w:tcPr>
            <w:tcW w:type="dxa" w:w="12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from 2023)</w:t>
            </w:r>
          </w:p>
        </w:tc>
        <w:tc>
          <w:tcPr>
            <w:tcW w:type="dxa" w:w="12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1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Private</w:t>
            </w:r>
          </w:p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£5m–£10m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21.3%</w:t>
            </w:r>
          </w:p>
        </w:tc>
        <w:tc>
          <w:tcPr>
            <w:tcW w:type="dxa" w:w="10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58.8%</w:t>
            </w:r>
          </w:p>
        </w:tc>
        <w:tc>
          <w:tcPr>
            <w:tcW w:type="dxa" w:w="14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-8.0%</w:t>
            </w:r>
          </w:p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15.2%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8.3%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0.3%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</w:tr>
      <w:tr>
        <w:trPr>
          <w:trHeight w:hRule="exact" w:val="56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2008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48.2%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51.8%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1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7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60.4%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39.6%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£10m–£50m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16.6%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8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71.5%</w:t>
            </w:r>
          </w:p>
        </w:tc>
        <w:tc>
          <w:tcPr>
            <w:tcW w:type="dxa" w:w="15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-12.3%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2.2%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13.4%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5.5%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1.5%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1.6%</w:t>
            </w:r>
          </w:p>
        </w:tc>
      </w:tr>
      <w:tr>
        <w:trPr>
          <w:trHeight w:hRule="exact" w:val="28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38.0%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57.2%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52.7%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46.1%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1.2%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£50m–£100m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15.7%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0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77.1%</w:t>
            </w:r>
          </w:p>
        </w:tc>
        <w:tc>
          <w:tcPr>
            <w:tcW w:type="dxa" w:w="15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-14.0%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11.5%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2.7%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1.8%</w:t>
            </w:r>
          </w:p>
        </w:tc>
      </w:tr>
      <w:tr>
        <w:trPr>
          <w:trHeight w:hRule="exact" w:val="28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22.4%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68.6%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9.0%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38.8%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58.6%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2.6%</w:t>
            </w:r>
          </w:p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£100m–£1bn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14.3%</w:t>
            </w:r>
          </w:p>
        </w:tc>
        <w:tc>
          <w:tcPr>
            <w:tcW w:type="dxa" w:w="10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74.7%</w:t>
            </w:r>
          </w:p>
        </w:tc>
        <w:tc>
          <w:tcPr>
            <w:tcW w:type="dxa" w:w="14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5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-11.9%</w:t>
            </w:r>
          </w:p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3.9%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13.8%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1.1%</w:t>
            </w:r>
          </w:p>
        </w:tc>
      </w:tr>
      <w:tr>
        <w:trPr>
          <w:trHeight w:hRule="exact" w:val="52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20.5%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69.0%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10.5%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36.3%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61.0%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2.7%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Over £1bn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8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15.7%</w:t>
            </w:r>
          </w:p>
        </w:tc>
        <w:tc>
          <w:tcPr>
            <w:tcW w:type="dxa" w:w="10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4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68.0%</w:t>
            </w:r>
          </w:p>
        </w:tc>
        <w:tc>
          <w:tcPr>
            <w:tcW w:type="dxa" w:w="14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-2.5%</w:t>
            </w:r>
          </w:p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6.9%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8.0%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0.5%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2.6%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0.8%</w:t>
            </w:r>
          </w:p>
        </w:tc>
      </w:tr>
      <w:tr>
        <w:trPr>
          <w:trHeight w:hRule="exact" w:val="174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18.6%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69.4%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12.0%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2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32.1%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65.0%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3980"/>
            <w:gridSpan w:val="1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73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120</w:t>
            </w:r>
          </w:p>
        </w:tc>
      </w:tr>
      <w:tr>
        <w:trPr>
          <w:trHeight w:hRule="exact" w:val="238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16.6%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69.7%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13.7%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29.6%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66.7%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3.7%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13.3%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69.0%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17.7%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2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26.9%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68.4%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4" w:after="0"/>
              <w:ind w:left="0" w:right="3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5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0" w:right="165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4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11%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0" w:after="0"/>
              <w:ind w:left="4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2" w:after="0"/>
              <w:ind w:left="0" w:right="63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</w:tr>
      <w:tr>
        <w:trPr>
          <w:trHeight w:hRule="exact" w:val="50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11.6%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68.3%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20.1%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2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24.9%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69.4%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5.8%</w:t>
            </w:r>
          </w:p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6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13%</w:t>
            </w:r>
          </w:p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4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9.9%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68.6%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21.5%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22.5%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70.9%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3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17%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</w:tr>
      <w:tr>
        <w:trPr>
          <w:trHeight w:hRule="exact" w:val="128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 restated*</w:t>
            </w:r>
          </w:p>
        </w:tc>
        <w:tc>
          <w:tcPr>
            <w:tcW w:type="dxa" w:w="149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7.6%</w:t>
            </w:r>
          </w:p>
        </w:tc>
        <w:tc>
          <w:tcPr>
            <w:tcW w:type="dxa" w:w="127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1.4%</w:t>
            </w:r>
          </w:p>
        </w:tc>
        <w:tc>
          <w:tcPr>
            <w:tcW w:type="dxa" w:w="107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53.0%</w:t>
            </w:r>
          </w:p>
        </w:tc>
        <w:tc>
          <w:tcPr>
            <w:tcW w:type="dxa" w:w="13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8.0%</w:t>
            </w:r>
          </w:p>
        </w:tc>
        <w:tc>
          <w:tcPr>
            <w:tcW w:type="dxa" w:w="99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30.0%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20.3%</w:t>
            </w:r>
          </w:p>
        </w:tc>
        <w:tc>
          <w:tcPr>
            <w:tcW w:type="dxa" w:w="13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28.7%</w:t>
            </w:r>
          </w:p>
        </w:tc>
        <w:tc>
          <w:tcPr>
            <w:tcW w:type="dxa" w:w="127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37.1%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4.7%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9.3%</w:t>
            </w:r>
          </w:p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94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2" w:after="0"/>
              <w:ind w:left="1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52%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32" w:after="0"/>
              <w:ind w:left="0" w:right="5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2" w:after="0"/>
              <w:ind w:left="0" w:right="16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71%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6" w:after="0"/>
              <w:ind w:left="3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77%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10" w:after="0"/>
              <w:ind w:left="4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75%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6" w:after="0"/>
              <w:ind w:left="0" w:right="5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68%</w:t>
            </w:r>
          </w:p>
        </w:tc>
      </w:tr>
      <w:tr>
        <w:trPr>
          <w:trHeight w:hRule="exact" w:val="26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1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2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1.4%</w:t>
            </w:r>
          </w:p>
        </w:tc>
        <w:tc>
          <w:tcPr>
            <w:tcW w:type="dxa" w:w="1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41.7%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6.7%</w:t>
            </w:r>
          </w:p>
        </w:tc>
        <w:tc>
          <w:tcPr>
            <w:tcW w:type="dxa" w:w="9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43.6%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27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17.7%</w:t>
            </w:r>
          </w:p>
        </w:tc>
        <w:tc>
          <w:tcPr>
            <w:tcW w:type="dxa" w:w="13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29.8%</w:t>
            </w:r>
          </w:p>
        </w:tc>
        <w:tc>
          <w:tcPr>
            <w:tcW w:type="dxa" w:w="12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33.9%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4.4%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14.2%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14040"/>
            <w:gridSpan w:val="3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* Weighted average only.</w:t>
            </w:r>
          </w:p>
          <w:p>
            <w:pPr>
              <w:autoSpaceDN w:val="0"/>
              <w:autoSpaceDE w:val="0"/>
              <w:widowControl/>
              <w:spacing w:line="180" w:lineRule="exact" w:before="76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the rows may not sum to 100 per cent because of rounding.</w:t>
            </w:r>
          </w:p>
          <w:p>
            <w:pPr>
              <w:autoSpaceDN w:val="0"/>
              <w:autoSpaceDE w:val="0"/>
              <w:widowControl/>
              <w:spacing w:line="182" w:lineRule="exact" w:before="224" w:after="0"/>
              <w:ind w:left="0" w:right="589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Weighted average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0" w:after="0"/>
              <w:ind w:left="1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9351"/>
            <w:gridSpan w:val="37"/>
            <w:vMerge/>
            <w:tcBorders/>
          </w:tcPr>
          <w:p/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8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</w:tr>
      <w:tr>
        <w:trPr>
          <w:trHeight w:hRule="exact" w:val="120"/>
        </w:trPr>
        <w:tc>
          <w:tcPr>
            <w:tcW w:type="dxa" w:w="19351"/>
            <w:gridSpan w:val="37"/>
            <w:vMerge/>
            <w:tcBorders/>
          </w:tcPr>
          <w:p/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21%</w:t>
            </w:r>
          </w:p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16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17%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4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4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</w:tr>
      <w:tr>
        <w:trPr>
          <w:trHeight w:hRule="exact" w:val="160"/>
        </w:trPr>
        <w:tc>
          <w:tcPr>
            <w:tcW w:type="dxa" w:w="10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0" w:after="0"/>
              <w:ind w:left="0" w:right="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52%</w:t>
            </w:r>
          </w:p>
        </w:tc>
        <w:tc>
          <w:tcPr>
            <w:tcW w:type="dxa" w:w="189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0" w:right="5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5%</w:t>
            </w:r>
          </w:p>
        </w:tc>
        <w:tc>
          <w:tcPr>
            <w:tcW w:type="dxa" w:w="12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4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0" w:right="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10%</w:t>
            </w:r>
          </w:p>
        </w:tc>
        <w:tc>
          <w:tcPr>
            <w:tcW w:type="dxa" w:w="151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4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12%</w:t>
            </w:r>
          </w:p>
        </w:tc>
        <w:tc>
          <w:tcPr>
            <w:tcW w:type="dxa" w:w="11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11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111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27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0" w:right="5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21%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8" w:after="0"/>
              <w:ind w:left="0" w:right="3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90" w:after="0"/>
              <w:ind w:left="2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5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-8%</w:t>
            </w:r>
          </w:p>
        </w:tc>
        <w:tc>
          <w:tcPr>
            <w:tcW w:type="dxa" w:w="3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15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-12%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" w:after="0"/>
              <w:ind w:left="37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-14%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45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-12%</w:t>
            </w:r>
          </w:p>
        </w:tc>
      </w:tr>
      <w:tr>
        <w:trPr>
          <w:trHeight w:hRule="exact" w:val="260"/>
        </w:trPr>
        <w:tc>
          <w:tcPr>
            <w:tcW w:type="dxa" w:w="10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0" w:right="2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7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-20</w:t>
            </w:r>
          </w:p>
        </w:tc>
      </w:tr>
      <w:tr>
        <w:trPr>
          <w:trHeight w:hRule="exact" w:val="280"/>
        </w:trPr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Under £5m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£5–£10m</w:t>
            </w:r>
          </w:p>
        </w:tc>
        <w:tc>
          <w:tcPr>
            <w:tcW w:type="dxa" w:w="3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£10m–£50m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£50m–£100m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4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£100m–£1bn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Over £1bn</w:t>
            </w:r>
          </w:p>
        </w:tc>
      </w:tr>
      <w:tr>
        <w:trPr>
          <w:trHeight w:hRule="exact" w:val="280"/>
        </w:trPr>
        <w:tc>
          <w:tcPr>
            <w:tcW w:type="dxa" w:w="54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24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57%</w:t>
            </w:r>
          </w:p>
        </w:tc>
        <w:tc>
          <w:tcPr>
            <w:tcW w:type="dxa" w:w="86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7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607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Asset size</w:t>
            </w:r>
          </w:p>
        </w:tc>
      </w:tr>
      <w:tr>
        <w:trPr>
          <w:trHeight w:hRule="exact" w:val="20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3128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4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4" w:after="0"/>
              <w:ind w:left="0" w:right="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51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4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1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70%</w:t>
            </w:r>
          </w:p>
        </w:tc>
        <w:tc>
          <w:tcPr>
            <w:tcW w:type="dxa" w:w="111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0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68%</w:t>
            </w:r>
          </w:p>
        </w:tc>
        <w:tc>
          <w:tcPr>
            <w:tcW w:type="dxa" w:w="25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4" w:after="0"/>
              <w:ind w:left="4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0" w:right="7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4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Cash and deposits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Equities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Bonds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Property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Annuities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Diversified growth funds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Absolute returns</w:t>
            </w:r>
          </w:p>
        </w:tc>
        <w:tc>
          <w:tcPr>
            <w:tcW w:type="dxa" w:w="42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Miscellaneous</w:t>
            </w:r>
          </w:p>
        </w:tc>
      </w:tr>
      <w:tr>
        <w:trPr>
          <w:trHeight w:hRule="exact" w:val="660"/>
        </w:trPr>
        <w:tc>
          <w:tcPr>
            <w:tcW w:type="dxa" w:w="523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0" w:after="0"/>
              <w:ind w:left="1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5230"/>
            <w:gridSpan w:val="10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4184"/>
            <w:gridSpan w:val="8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3980"/>
            <w:gridSpan w:val="1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3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</w:tr>
      <w:tr>
        <w:trPr>
          <w:trHeight w:hRule="exact" w:val="400"/>
        </w:trPr>
        <w:tc>
          <w:tcPr>
            <w:tcW w:type="dxa" w:w="14040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46" w:val="left"/>
              </w:tabs>
              <w:autoSpaceDE w:val="0"/>
              <w:widowControl/>
              <w:spacing w:line="202" w:lineRule="exact" w:before="0" w:after="0"/>
              <w:ind w:left="12086" w:right="576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53% </w:t>
            </w:r>
            <w:r>
              <w:br/>
            </w:r>
            <w:r>
              <w:tab/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42%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2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48%</w:t>
            </w:r>
          </w:p>
        </w:tc>
        <w:tc>
          <w:tcPr>
            <w:tcW w:type="dxa" w:w="12460"/>
            <w:gridSpan w:val="3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0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38%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0" w:after="0"/>
              <w:ind w:left="0" w:right="8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312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21%</w:t>
            </w:r>
          </w:p>
        </w:tc>
        <w:tc>
          <w:tcPr>
            <w:tcW w:type="dxa" w:w="15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4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1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17%</w:t>
            </w:r>
          </w:p>
        </w:tc>
        <w:tc>
          <w:tcPr>
            <w:tcW w:type="dxa" w:w="11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13%</w:t>
            </w:r>
          </w:p>
        </w:tc>
        <w:tc>
          <w:tcPr>
            <w:tcW w:type="dxa" w:w="11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12%</w:t>
            </w:r>
          </w:p>
        </w:tc>
        <w:tc>
          <w:tcPr>
            <w:tcW w:type="dxa" w:w="1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5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10%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0" w:right="4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6" w:after="0"/>
              <w:ind w:left="0" w:right="7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2008</w:t>
            </w:r>
          </w:p>
        </w:tc>
        <w:tc>
          <w:tcPr>
            <w:tcW w:type="dxa" w:w="13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2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15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1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0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 restated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5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exact" w:before="40" w:after="56"/>
        <w:ind w:left="0" w:right="20704" w:firstLine="0"/>
        <w:jc w:val="right"/>
      </w:pPr>
      <w:r>
        <w:rPr>
          <w:rFonts w:ascii="Museo" w:hAnsi="Museo" w:eastAsia="Museo"/>
          <w:b/>
          <w:i w:val="0"/>
          <w:color w:val="415364"/>
          <w:sz w:val="16"/>
        </w:rPr>
        <w:t>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5651"/>
        <w:gridCol w:w="5651"/>
        <w:gridCol w:w="5651"/>
        <w:gridCol w:w="5651"/>
        <w:gridCol w:w="5651"/>
      </w:tblGrid>
      <w:tr>
        <w:trPr>
          <w:trHeight w:hRule="exact" w:val="29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UK quoted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Overseas quoted (tier 1 only)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Developed markets (tiers 2 and 3)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Emerging markets (tiers 2 and 3)</w:t>
            </w:r>
          </w:p>
        </w:tc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Unquoted/Private</w:t>
            </w:r>
          </w:p>
        </w:tc>
      </w:tr>
    </w:tbl>
    <w:p>
      <w:pPr>
        <w:autoSpaceDN w:val="0"/>
        <w:autoSpaceDE w:val="0"/>
        <w:widowControl/>
        <w:spacing w:line="180" w:lineRule="exact" w:before="200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 xml:space="preserve">Note: figures may not sum to 100 per cent because of rounding. </w:t>
      </w:r>
    </w:p>
    <w:p>
      <w:pPr>
        <w:autoSpaceDN w:val="0"/>
        <w:autoSpaceDE w:val="0"/>
        <w:widowControl/>
        <w:spacing w:line="224" w:lineRule="exact" w:before="196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Starting with the 2023 scheme return, ‘overseas quoted’ is now split into two categories for tier 2 and 3 schemes – ‘developed markets’ and ‘emerging markets’. </w:t>
      </w:r>
    </w:p>
    <w:p>
      <w:pPr>
        <w:autoSpaceDN w:val="0"/>
        <w:autoSpaceDE w:val="0"/>
        <w:widowControl/>
        <w:spacing w:line="224" w:lineRule="exact" w:before="16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three overseas equity categories in shades of blue in the bars for 2023 onwards should be compared with the blue bars in the years prior to 2023. </w:t>
      </w:r>
    </w:p>
    <w:p>
      <w:pPr>
        <w:autoSpaceDN w:val="0"/>
        <w:autoSpaceDE w:val="0"/>
        <w:widowControl/>
        <w:spacing w:line="180" w:lineRule="exact" w:before="180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Source: PPF</w:t>
      </w:r>
    </w:p>
    <w:sectPr w:rsidR="00FC693F" w:rsidRPr="0006063C" w:rsidSect="00034616">
      <w:pgSz w:w="29934" w:h="16838"/>
      <w:pgMar w:top="150" w:right="830" w:bottom="97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