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  <w:gridCol w:w="1487"/>
      </w:tblGrid>
      <w:tr>
        <w:trPr>
          <w:trHeight w:hRule="exact" w:val="540"/>
        </w:trPr>
        <w:tc>
          <w:tcPr>
            <w:tcW w:type="dxa" w:w="23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32" w:after="0"/>
              <w:ind w:left="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60279E"/>
                <w:sz w:val="16"/>
              </w:rPr>
              <w:t>The Purple Book 2024</w:t>
            </w:r>
          </w:p>
        </w:tc>
        <w:tc>
          <w:tcPr>
            <w:tcW w:type="dxa" w:w="1436"/>
            <w:vMerge w:val="restart"/>
            <w:tcBorders/>
            <w:shd w:fill="f1f3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36" w:after="0"/>
              <w:ind w:left="1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Introduction</w:t>
            </w: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1482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>Overview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476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68" w:type="dxa"/>
            </w:tblPr>
            <w:tblGrid>
              <w:gridCol w:w="1484"/>
            </w:tblGrid>
            <w:tr>
              <w:trPr>
                <w:trHeight w:hRule="exact" w:val="704"/>
              </w:trPr>
              <w:tc>
                <w:tcPr>
                  <w:tcW w:type="dxa" w:w="1436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09" w:type="dxa"/>
            </w:tblPr>
            <w:tblGrid>
              <w:gridCol w:w="1480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.000000000000455" w:type="dxa"/>
            </w:tblPr>
            <w:tblGrid>
              <w:gridCol w:w="1476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c92c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FFFFFF"/>
                      <w:sz w:val="20"/>
                    </w:rPr>
                    <w:t>07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.999999999998636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1478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09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1482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818" w:type="dxa"/>
            </w:tblPr>
            <w:tblGrid>
              <w:gridCol w:w="1476"/>
            </w:tblGrid>
            <w:tr>
              <w:trPr>
                <w:trHeight w:hRule="exact" w:val="51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30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484"/>
            </w:tblGrid>
            <w:tr>
              <w:trPr>
                <w:trHeight w:hRule="exact" w:val="704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8" w:lineRule="exact" w:before="480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/>
                      <w:i w:val="0"/>
                      <w:color w:val="415364"/>
                      <w:sz w:val="20"/>
                    </w:rPr>
                    <w:t>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182" w:type="dxa"/>
            </w:tblPr>
            <w:tblGrid>
              <w:gridCol w:w="1482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>Appendix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91" w:type="dxa"/>
            </w:tblPr>
            <w:tblGrid>
              <w:gridCol w:w="1478"/>
            </w:tblGrid>
            <w:tr>
              <w:trPr>
                <w:trHeight w:hRule="exact" w:val="122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36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 xml:space="preserve">Glossary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182" w:type="dxa"/>
            </w:tblPr>
            <w:tblGrid>
              <w:gridCol w:w="1482"/>
            </w:tblGrid>
            <w:tr>
              <w:trPr>
                <w:trHeight w:hRule="exact" w:val="908"/>
              </w:trPr>
              <w:tc>
                <w:tcPr>
                  <w:tcW w:type="dxa" w:w="1434"/>
                  <w:tcBorders/>
                  <w:shd w:fill="f1f3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748" w:after="0"/>
                    <w:ind w:left="170" w:right="0" w:firstLine="0"/>
                    <w:jc w:val="left"/>
                  </w:pPr>
                  <w:r>
                    <w:rPr>
                      <w:rFonts w:ascii="Museo" w:hAnsi="Museo" w:eastAsia="Museo"/>
                      <w:b w:val="0"/>
                      <w:i w:val="0"/>
                      <w:color w:val="415364"/>
                      <w:sz w:val="16"/>
                    </w:rPr>
                    <w:t xml:space="preserve">Charts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79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60279E"/>
                <w:sz w:val="32"/>
              </w:rPr>
              <w:t>20</w:t>
            </w:r>
          </w:p>
        </w:tc>
      </w:tr>
      <w:tr>
        <w:trPr>
          <w:trHeight w:hRule="exact" w:val="20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Funding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Claims and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Executive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The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history and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Insolvency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Asset 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Risk 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levy 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schemes in 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compensation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PPF risk 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summary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data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demographics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funding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sensitivities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risk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allocation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reduction</w:t>
            </w:r>
          </w:p>
        </w:tc>
        <w:tc>
          <w:tcPr>
            <w:tcW w:type="dxa" w:w="14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assessment</w:t>
            </w:r>
          </w:p>
        </w:tc>
        <w:tc>
          <w:tcPr>
            <w:tcW w:type="dxa" w:w="14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2023/24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developments</w:t>
            </w:r>
          </w:p>
        </w:tc>
        <w:tc>
          <w:tcPr>
            <w:tcW w:type="dxa" w:w="1487"/>
            <w:vMerge/>
            <w:tcBorders/>
          </w:tcPr>
          <w:p/>
        </w:tc>
        <w:tc>
          <w:tcPr>
            <w:tcW w:type="dxa" w:w="1487"/>
            <w:vMerge/>
            <w:tcBorders/>
          </w:tcPr>
          <w:p/>
        </w:tc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2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and tables</w:t>
            </w:r>
          </w:p>
        </w:tc>
        <w:tc>
          <w:tcPr>
            <w:tcW w:type="dxa" w:w="1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4" w:lineRule="exact" w:before="432" w:after="0"/>
        <w:ind w:left="0" w:right="0" w:firstLine="0"/>
        <w:jc w:val="left"/>
      </w:pPr>
      <w:r>
        <w:rPr>
          <w:rFonts w:ascii="Museo" w:hAnsi="Museo" w:eastAsia="Museo"/>
          <w:b/>
          <w:i w:val="0"/>
          <w:color w:val="CA2D9A"/>
          <w:sz w:val="32"/>
        </w:rPr>
        <w:t>Asset allocation</w:t>
      </w:r>
      <w:r>
        <w:rPr>
          <w:rFonts w:ascii="Museo" w:hAnsi="Museo" w:eastAsia="Museo"/>
          <w:b w:val="0"/>
          <w:i w:val="0"/>
          <w:color w:val="CA2D9A"/>
          <w:sz w:val="32"/>
        </w:rPr>
        <w:t xml:space="preserve"> continued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1511300</wp:posOffset>
            </wp:positionV>
            <wp:extent cx="17932400" cy="7543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0" cy="754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428" w:val="left"/>
        </w:tabs>
        <w:autoSpaceDE w:val="0"/>
        <w:widowControl/>
        <w:spacing w:line="228" w:lineRule="exact" w:before="488" w:after="238"/>
        <w:ind w:left="170" w:right="0" w:firstLine="0"/>
        <w:jc w:val="left"/>
      </w:pPr>
      <w:r>
        <w:rPr>
          <w:rFonts w:ascii="Museo" w:hAnsi="Museo" w:eastAsia="Museo"/>
          <w:b/>
          <w:i w:val="0"/>
          <w:color w:val="CA2D9A"/>
          <w:sz w:val="20"/>
        </w:rPr>
        <w:t xml:space="preserve">Figure 7.3 | Weighted average asset allocation in total assets </w:t>
      </w:r>
      <w:r>
        <w:tab/>
      </w:r>
      <w:r>
        <w:rPr>
          <w:rFonts w:ascii="Museo" w:hAnsi="Museo" w:eastAsia="Museo"/>
          <w:b/>
          <w:i w:val="0"/>
          <w:color w:val="CA2D9A"/>
          <w:sz w:val="20"/>
        </w:rPr>
        <w:t>Figure 7.4 | Asset allocation: simple averages</w:t>
      </w:r>
    </w:p>
    <w:p>
      <w:pPr>
        <w:sectPr>
          <w:pgSz w:w="29934" w:h="16838"/>
          <w:pgMar w:top="0" w:right="830" w:bottom="6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CA2D9A"/>
          <w:sz w:val="20"/>
        </w:rPr>
        <w:t>The proportions of assets invested in equities continues to decline.</w:t>
      </w:r>
    </w:p>
    <w:p>
      <w:pPr>
        <w:sectPr>
          <w:type w:val="continuous"/>
          <w:pgSz w:w="29934" w:h="16838"/>
          <w:pgMar w:top="0" w:right="830" w:bottom="644" w:left="850" w:header="720" w:footer="720" w:gutter="0"/>
          <w:cols w:num="2" w:equalWidth="0">
            <w:col w:w="6644" w:space="0"/>
            <w:col w:w="21610" w:space="0"/>
          </w:cols>
          <w:docGrid w:linePitch="360"/>
        </w:sectPr>
      </w:pPr>
    </w:p>
    <w:p>
      <w:pPr>
        <w:autoSpaceDN w:val="0"/>
        <w:tabs>
          <w:tab w:pos="1328" w:val="left"/>
          <w:tab w:pos="14924" w:val="left"/>
        </w:tabs>
        <w:autoSpaceDE w:val="0"/>
        <w:widowControl/>
        <w:spacing w:line="236" w:lineRule="exact" w:before="0" w:after="62"/>
        <w:ind w:left="666" w:right="5760" w:firstLine="0"/>
        <w:jc w:val="left"/>
      </w:pPr>
      <w:r>
        <w:rPr>
          <w:rFonts w:ascii="Museo" w:hAnsi="Museo" w:eastAsia="Museo"/>
          <w:b w:val="0"/>
          <w:i w:val="0"/>
          <w:color w:val="FFFFFF"/>
          <w:sz w:val="16"/>
        </w:rPr>
        <w:t xml:space="preserve">Asset class </w:t>
      </w:r>
      <w:r>
        <w:br/>
      </w:r>
      <w:r>
        <w:tab/>
      </w:r>
      <w:r>
        <w:rPr>
          <w:rFonts w:ascii="Museo" w:hAnsi="Museo" w:eastAsia="Museo"/>
          <w:b w:val="0"/>
          <w:i w:val="0"/>
          <w:color w:val="FFFFFF"/>
          <w:sz w:val="16"/>
        </w:rPr>
        <w:t xml:space="preserve">Breakdown of other investments </w:t>
      </w:r>
      <w:r>
        <w:tab/>
      </w:r>
      <w:r>
        <w:rPr>
          <w:rFonts w:ascii="Museo" w:hAnsi="Museo" w:eastAsia="Museo"/>
          <w:b w:val="0"/>
          <w:i w:val="0"/>
          <w:color w:val="FFFFFF"/>
          <w:sz w:val="16"/>
        </w:rPr>
        <w:t>Asset class</w:t>
      </w:r>
    </w:p>
    <w:p>
      <w:pPr>
        <w:sectPr>
          <w:type w:val="nextColumn"/>
          <w:pgSz w:w="29934" w:h="16838"/>
          <w:pgMar w:top="0" w:right="830" w:bottom="644" w:left="850" w:header="720" w:footer="720" w:gutter="0"/>
          <w:cols w:num="2" w:equalWidth="0">
            <w:col w:w="6644" w:space="0"/>
            <w:col w:w="216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rPr>
          <w:trHeight w:hRule="exact" w:val="220"/>
        </w:trPr>
        <w:tc>
          <w:tcPr>
            <w:tcW w:type="dxa" w:w="2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</w:t>
            </w:r>
          </w:p>
        </w:tc>
        <w:tc>
          <w:tcPr>
            <w:tcW w:type="dxa" w:w="19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Other </w:t>
            </w:r>
          </w:p>
        </w:tc>
        <w:tc>
          <w:tcPr>
            <w:tcW w:type="dxa" w:w="2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Cash and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0" w:after="0"/>
              <w:ind w:left="18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Annuities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Diversified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Absolute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8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Insurance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Hedge funds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50" w:after="0"/>
              <w:ind w:left="1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Miscellaneous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8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Year/</w:t>
            </w: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The Purple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Equities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Bonds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0" w:after="0"/>
              <w:ind w:left="0" w:right="1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Other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Cash and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2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Annuities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Breakdown of other investments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Insurance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Hedge funds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Miscellaneous</w:t>
            </w:r>
          </w:p>
        </w:tc>
      </w:tr>
      <w:tr>
        <w:trPr>
          <w:trHeight w:hRule="exact" w:val="257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>Book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 dataset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Equities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Bonds</w:t>
            </w:r>
          </w:p>
        </w:tc>
        <w:tc>
          <w:tcPr>
            <w:tcW w:type="dxa" w:w="12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investments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deposits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Property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7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growth funds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returns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policies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2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Diversified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 xml:space="preserve">Absolute 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63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2006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61.1%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28.3%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10.6%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2.3%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4.3%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0.9%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3.1%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/>
                <w:color w:val="FFFFFF"/>
                <w:sz w:val="16"/>
              </w:rPr>
              <w:t xml:space="preserve">Book </w:t>
            </w: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dataset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3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investments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deposits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growth funds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returns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policies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15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2011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41.1%</w:t>
            </w:r>
          </w:p>
        </w:tc>
        <w:tc>
          <w:tcPr>
            <w:tcW w:type="dxa" w:w="10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20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40.1%</w:t>
            </w:r>
          </w:p>
        </w:tc>
        <w:tc>
          <w:tcPr>
            <w:tcW w:type="dxa" w:w="10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18.8%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4.1%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4.4%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1.6%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2.4%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6.3%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52.6%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22.6%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24.8%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3.9%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2.1%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14.9%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3.6%</w:t>
            </w:r>
          </w:p>
        </w:tc>
      </w:tr>
      <w:tr>
        <w:trPr>
          <w:trHeight w:hRule="exact" w:val="56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3138"/>
            <w:gridSpan w:val="3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2011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43.7%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32.6%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23.7%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4.9%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2.7%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11.8%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1.0%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3.3%</w:t>
            </w:r>
          </w:p>
        </w:tc>
      </w:tr>
      <w:tr>
        <w:trPr>
          <w:trHeight w:hRule="exact" w:val="224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2016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30.3%</w:t>
            </w:r>
          </w:p>
        </w:tc>
        <w:tc>
          <w:tcPr>
            <w:tcW w:type="dxa" w:w="10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22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51.3%</w:t>
            </w:r>
          </w:p>
        </w:tc>
        <w:tc>
          <w:tcPr>
            <w:tcW w:type="dxa" w:w="10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18.4%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3.0%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4.8%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2.1%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1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37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50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3138"/>
            <w:gridSpan w:val="3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2016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36.8%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41.1%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22.1%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5.4%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3.7%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2.4%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1.2%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7.9%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1.5%</w:t>
            </w:r>
          </w:p>
        </w:tc>
      </w:tr>
      <w:tr>
        <w:trPr>
          <w:trHeight w:hRule="exact" w:val="23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2017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29.0%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20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55.7%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15.3%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-0.9%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5.3%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3.3%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6.7%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0.8%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2018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27.0%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59.0%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14.0%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-2.5%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4.8%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3.4%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7.0%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1.2%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2017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34.5%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41.4%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24.1%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3.6%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3.7%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6.8%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0.7%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1.3%</w:t>
            </w:r>
          </w:p>
        </w:tc>
      </w:tr>
      <w:tr>
        <w:trPr>
          <w:trHeight w:hRule="exact" w:val="2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2019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24.0%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9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62.8%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13.2%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-4.4%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5.0%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4.0%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0.3%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7.4%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1.0%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2018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32.4%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43.1%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24.5%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1.8%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3.3%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8.9%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0.6%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8.5%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1.4%</w:t>
            </w:r>
          </w:p>
        </w:tc>
      </w:tr>
      <w:tr>
        <w:trPr>
          <w:trHeight w:hRule="exact" w:val="56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2020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20.4%</w:t>
            </w:r>
          </w:p>
        </w:tc>
        <w:tc>
          <w:tcPr>
            <w:tcW w:type="dxa" w:w="103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69.2%</w:t>
            </w:r>
          </w:p>
        </w:tc>
        <w:tc>
          <w:tcPr>
            <w:tcW w:type="dxa" w:w="104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10.4%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-7.2%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4.9%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5.0%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6.8%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0.8%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3138"/>
            <w:gridSpan w:val="3"/>
            <w:vMerge/>
            <w:tcBorders/>
          </w:tcPr>
          <w:p/>
        </w:tc>
        <w:tc>
          <w:tcPr>
            <w:tcW w:type="dxa" w:w="2092"/>
            <w:gridSpan w:val="2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2019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30.4%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47.0%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22.7%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–0.8%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3.4%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9.4%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0.5%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8.9%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1.3%</w:t>
            </w:r>
          </w:p>
        </w:tc>
      </w:tr>
      <w:tr>
        <w:trPr>
          <w:trHeight w:hRule="exact" w:val="62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2021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19.0%</w:t>
            </w:r>
          </w:p>
        </w:tc>
        <w:tc>
          <w:tcPr>
            <w:tcW w:type="dxa" w:w="143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72.0%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2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9.1%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-9.5%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4.7%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6.6%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6.1%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4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0.9%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2020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27.8%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52.3%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19.9%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–3.2%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3.4%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9.7%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0.6%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7.9%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</w:tr>
      <w:tr>
        <w:trPr>
          <w:trHeight w:hRule="exact" w:val="68"/>
        </w:trPr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2022</w:t>
            </w:r>
          </w:p>
        </w:tc>
        <w:tc>
          <w:tcPr>
            <w:tcW w:type="dxa" w:w="12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19.5%</w:t>
            </w:r>
          </w:p>
        </w:tc>
        <w:tc>
          <w:tcPr>
            <w:tcW w:type="dxa" w:w="143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22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71.6%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8.9%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-8.8%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4.6%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6.8%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0.1%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5.2%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1.0%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4184"/>
            <w:gridSpan w:val="4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41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2021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25.8%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9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58.0%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16.3%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–6.6%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3.2%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10.6%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6.9%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</w:tr>
      <w:tr>
        <w:trPr>
          <w:trHeight w:hRule="exact" w:val="2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2023 restated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18.8%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9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66.5%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14.7%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-3.3%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5.3%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7.3%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6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1.5%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3.0%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0.9%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2022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27.1%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58.5%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14.4%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–7.5%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3.0%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10.7%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0.6%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6.0%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0" w:right="1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1.6%</w:t>
            </w:r>
          </w:p>
        </w:tc>
      </w:tr>
      <w:tr>
        <w:trPr>
          <w:trHeight w:hRule="exact" w:val="3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2024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15.5%</w:t>
            </w:r>
          </w:p>
        </w:tc>
        <w:tc>
          <w:tcPr>
            <w:tcW w:type="dxa" w:w="1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0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69.8%</w:t>
            </w:r>
          </w:p>
        </w:tc>
        <w:tc>
          <w:tcPr>
            <w:tcW w:type="dxa" w:w="10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14.7%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-5.4%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5.9%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9.7%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1.0%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2.6%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0.9%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1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23.1%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62.9%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14.0%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–10.8%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2.8%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11.5%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6.7%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1.7%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12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" w:after="0"/>
              <w:ind w:left="0" w:right="1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1.9%</w:t>
            </w:r>
          </w:p>
        </w:tc>
      </w:tr>
      <w:tr>
        <w:trPr>
          <w:trHeight w:hRule="exact" w:val="310"/>
        </w:trPr>
        <w:tc>
          <w:tcPr>
            <w:tcW w:type="dxa" w:w="69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Note: figures may not sum to 100 per cent or the ‘Other investments’ total because of rounding.</w:t>
            </w:r>
          </w:p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046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41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2024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17.8%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66.1%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16.1%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–8.9%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2.8%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6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13.8%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24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5.2%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3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1.3%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2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–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1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1.9%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type w:val="continuous"/>
          <w:pgSz w:w="29934" w:h="16838"/>
          <w:pgMar w:top="0" w:right="830" w:bottom="64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70" w:right="288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The category ‘bonds’ represents those physically held as well as other investments whose economic characteristics resemble bonds, such as LDI. </w:t>
      </w:r>
      <w:r>
        <w:rPr>
          <w:rFonts w:ascii="Museo" w:hAnsi="Museo" w:eastAsia="Museo"/>
          <w:b w:val="0"/>
          <w:i w:val="0"/>
          <w:color w:val="415364"/>
          <w:sz w:val="20"/>
        </w:rPr>
        <w:t xml:space="preserve">From 2023 the categories ‘insurance policies’ and ‘hedge funds’ have been discontinued. There became two new categories: ‘diversified growth funds’ and </w:t>
      </w:r>
      <w:r>
        <w:rPr>
          <w:rFonts w:ascii="Museo" w:hAnsi="Museo" w:eastAsia="Museo"/>
          <w:b w:val="0"/>
          <w:i w:val="0"/>
          <w:color w:val="415364"/>
          <w:sz w:val="20"/>
        </w:rPr>
        <w:t>‘absolute returns’.</w:t>
      </w:r>
    </w:p>
    <w:p>
      <w:pPr>
        <w:autoSpaceDN w:val="0"/>
        <w:autoSpaceDE w:val="0"/>
        <w:widowControl/>
        <w:spacing w:line="240" w:lineRule="exact" w:before="160" w:after="0"/>
        <w:ind w:left="170" w:right="576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The weighted average proportion of assets held in cash and deposits is negative. Negative cash holdings are likely to relate to investments such as swaps </w:t>
      </w:r>
      <w:r>
        <w:rPr>
          <w:rFonts w:ascii="Museo" w:hAnsi="Museo" w:eastAsia="Museo"/>
          <w:b w:val="0"/>
          <w:i w:val="0"/>
          <w:color w:val="415364"/>
          <w:sz w:val="20"/>
        </w:rPr>
        <w:t>and repurchase agreements held as part of LDI strategies.</w:t>
      </w:r>
    </w:p>
    <w:p>
      <w:pPr>
        <w:autoSpaceDN w:val="0"/>
        <w:autoSpaceDE w:val="0"/>
        <w:widowControl/>
        <w:spacing w:line="224" w:lineRule="exact" w:before="178" w:after="0"/>
        <w:ind w:left="170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‘–‘ indicates either that schemes may have been invested in these asset classes but the percentages could not be determined from the data held at the time, </w:t>
      </w:r>
    </w:p>
    <w:p>
      <w:pPr>
        <w:sectPr>
          <w:type w:val="continuous"/>
          <w:pgSz w:w="29934" w:h="16838"/>
          <w:pgMar w:top="0" w:right="830" w:bottom="644" w:left="850" w:header="720" w:footer="720" w:gutter="0"/>
          <w:cols w:num="2" w:equalWidth="0">
            <w:col w:w="14090" w:space="0"/>
            <w:col w:w="1416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338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16"/>
        </w:rPr>
        <w:t xml:space="preserve">Note: figures may not sum to 100 per cent or the ‘Other investments’ total because of rounding. </w:t>
      </w:r>
    </w:p>
    <w:p>
      <w:pPr>
        <w:autoSpaceDN w:val="0"/>
        <w:autoSpaceDE w:val="0"/>
        <w:widowControl/>
        <w:spacing w:line="240" w:lineRule="exact" w:before="178" w:after="0"/>
        <w:ind w:left="338" w:right="576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From 2023 the categories ‘insurance policies’ and ‘hedge funds’ have been discontinued. There are two new categories: ‘diversified growth funds’ and </w:t>
      </w:r>
      <w:r>
        <w:rPr>
          <w:rFonts w:ascii="Museo" w:hAnsi="Museo" w:eastAsia="Museo"/>
          <w:b w:val="0"/>
          <w:i w:val="0"/>
          <w:color w:val="415364"/>
          <w:sz w:val="20"/>
        </w:rPr>
        <w:t>‘absolute returns’.</w:t>
      </w:r>
    </w:p>
    <w:p>
      <w:pPr>
        <w:autoSpaceDN w:val="0"/>
        <w:autoSpaceDE w:val="0"/>
        <w:widowControl/>
        <w:spacing w:line="240" w:lineRule="exact" w:before="170" w:after="0"/>
        <w:ind w:left="338" w:right="576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The simple average proportion of assets held in cash and deposits being negative represents a large number of schemes with significant negative cash </w:t>
      </w:r>
      <w:r>
        <w:rPr>
          <w:rFonts w:ascii="Museo" w:hAnsi="Museo" w:eastAsia="Museo"/>
          <w:b w:val="0"/>
          <w:i w:val="0"/>
          <w:color w:val="415364"/>
          <w:sz w:val="20"/>
        </w:rPr>
        <w:t xml:space="preserve">holdings which are likely to be related to investments such as </w:t>
      </w:r>
      <w:r>
        <w:rPr>
          <w:rFonts w:ascii="Museo" w:hAnsi="Museo" w:eastAsia="Museo"/>
          <w:b w:val="0"/>
          <w:i w:val="0"/>
          <w:color w:val="CA2D9A"/>
          <w:sz w:val="20"/>
        </w:rPr>
        <w:t>swaps</w:t>
      </w:r>
      <w:r>
        <w:rPr>
          <w:rFonts w:ascii="Museo" w:hAnsi="Museo" w:eastAsia="Museo"/>
          <w:b w:val="0"/>
          <w:i w:val="0"/>
          <w:color w:val="415364"/>
          <w:sz w:val="20"/>
        </w:rPr>
        <w:t xml:space="preserve"> and </w:t>
      </w:r>
      <w:r>
        <w:rPr>
          <w:rFonts w:ascii="Museo" w:hAnsi="Museo" w:eastAsia="Museo"/>
          <w:b w:val="0"/>
          <w:i w:val="0"/>
          <w:color w:val="CA2D9A"/>
          <w:sz w:val="20"/>
        </w:rPr>
        <w:t>repurchase agreements</w:t>
      </w:r>
      <w:r>
        <w:rPr>
          <w:rFonts w:ascii="Museo" w:hAnsi="Museo" w:eastAsia="Museo"/>
          <w:b w:val="0"/>
          <w:i w:val="0"/>
          <w:color w:val="415364"/>
          <w:sz w:val="20"/>
        </w:rPr>
        <w:t>.</w:t>
      </w:r>
    </w:p>
    <w:p>
      <w:pPr>
        <w:autoSpaceDN w:val="0"/>
        <w:autoSpaceDE w:val="0"/>
        <w:widowControl/>
        <w:spacing w:line="224" w:lineRule="exact" w:before="186" w:after="16"/>
        <w:ind w:left="338" w:right="0" w:firstLine="0"/>
        <w:jc w:val="left"/>
      </w:pPr>
      <w:r>
        <w:rPr>
          <w:rFonts w:ascii="Museo" w:hAnsi="Museo" w:eastAsia="Museo"/>
          <w:b w:val="0"/>
          <w:i w:val="0"/>
          <w:color w:val="415364"/>
          <w:sz w:val="20"/>
        </w:rPr>
        <w:t xml:space="preserve">‘–‘ indicates either that schemes may have been invested in these asset classes but the percentages could not be determined from the data held at the time, </w:t>
      </w:r>
    </w:p>
    <w:p>
      <w:pPr>
        <w:sectPr>
          <w:type w:val="nextColumn"/>
          <w:pgSz w:w="29934" w:h="16838"/>
          <w:pgMar w:top="0" w:right="830" w:bottom="644" w:left="850" w:header="720" w:footer="720" w:gutter="0"/>
          <w:cols w:num="2" w:equalWidth="0">
            <w:col w:w="14090" w:space="0"/>
            <w:col w:w="141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230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or because the category is new or no longer exists.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12" w:after="0"/>
              <w:ind w:left="0" w:right="4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4" w:after="0"/>
              <w:ind w:left="0" w:right="3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78" w:after="0"/>
              <w:ind w:left="0" w:right="4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13%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10%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9%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9%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2" w:after="0"/>
              <w:ind w:left="0" w:right="4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12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20"/>
              </w:rPr>
              <w:t>or because the category is new or no longer exists.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72" w:after="0"/>
              <w:ind w:left="0" w:right="4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7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9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9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14%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36" w:after="0"/>
              <w:ind w:left="0" w:right="3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16%</w:t>
            </w:r>
          </w:p>
        </w:tc>
      </w:tr>
      <w:tr>
        <w:trPr>
          <w:trHeight w:hRule="exact" w:val="400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100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93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100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982"/>
            <w:gridSpan w:val="5"/>
            <w:tcBorders>
              <w:end w:sz="45.600000000000136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35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11%</w:t>
            </w:r>
          </w:p>
        </w:tc>
        <w:tc>
          <w:tcPr>
            <w:tcW w:type="dxa" w:w="958"/>
            <w:tcBorders>
              <w:start w:sz="45.600000000000136" w:val="single" w:color="#C92C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5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380"/>
            <w:gridSpan w:val="3"/>
            <w:tcBorders>
              <w:end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3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25%</w:t>
            </w:r>
          </w:p>
        </w:tc>
        <w:tc>
          <w:tcPr>
            <w:tcW w:type="dxa" w:w="980"/>
            <w:tcBorders>
              <w:start w:sz="45.599999999999454" w:val="single" w:color="#C92C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0" w:after="0"/>
              <w:ind w:left="0" w:right="52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22%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62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5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70" w:after="0"/>
              <w:ind w:left="0" w:right="4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56%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6" w:after="0"/>
              <w:ind w:left="0" w:right="3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59%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0" w:after="0"/>
              <w:ind w:left="0" w:right="4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63%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5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69%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72%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72%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2" w:after="0"/>
              <w:ind w:left="0" w:right="4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67%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82" w:after="0"/>
              <w:ind w:left="19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70%</w:t>
            </w:r>
          </w:p>
        </w:tc>
        <w:tc>
          <w:tcPr>
            <w:tcW w:type="dxa" w:w="52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10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80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54" w:after="0"/>
              <w:ind w:left="0" w:right="42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43%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47%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7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52%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58%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59%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5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63%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78" w:after="0"/>
              <w:ind w:left="0" w:right="30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66%</w:t>
            </w:r>
          </w:p>
        </w:tc>
      </w:tr>
      <w:tr>
        <w:trPr>
          <w:trHeight w:hRule="exact" w:val="178"/>
        </w:trPr>
        <w:tc>
          <w:tcPr>
            <w:tcW w:type="dxa" w:w="48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26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5045"/>
            <w:gridSpan w:val="5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7063"/>
            <w:gridSpan w:val="7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94" w:after="0"/>
              <w:ind w:left="148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8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880"/>
            <w:vMerge w:val="restart"/>
            <w:tcBorders>
              <w:end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980"/>
            <w:vMerge w:val="restart"/>
            <w:tcBorders>
              <w:start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10" w:after="0"/>
              <w:ind w:left="0" w:right="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33%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0" w:right="53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676"/>
        </w:trPr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80" w:right="0" w:firstLine="0"/>
              <w:jc w:val="lef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Percentage</w:t>
            </w:r>
          </w:p>
        </w:tc>
        <w:tc>
          <w:tcPr>
            <w:tcW w:type="dxa" w:w="706"/>
            <w:gridSpan w:val="2"/>
            <w:tcBorders>
              <w:end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4" w:after="0"/>
              <w:ind w:left="0" w:right="2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60</w:t>
            </w:r>
          </w:p>
        </w:tc>
        <w:tc>
          <w:tcPr>
            <w:tcW w:type="dxa" w:w="1814"/>
            <w:gridSpan w:val="3"/>
            <w:vMerge w:val="restart"/>
            <w:tcBorders>
              <w:start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40%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54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51%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438"/>
        </w:trPr>
        <w:tc>
          <w:tcPr>
            <w:tcW w:type="dxa" w:w="1009"/>
            <w:vMerge/>
            <w:tcBorders/>
          </w:tcPr>
          <w:p/>
        </w:tc>
        <w:tc>
          <w:tcPr>
            <w:tcW w:type="dxa" w:w="706"/>
            <w:gridSpan w:val="2"/>
            <w:tcBorders>
              <w:end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8" w:after="0"/>
              <w:ind w:left="0" w:right="2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3027"/>
            <w:gridSpan w:val="3"/>
            <w:vMerge/>
            <w:tcBorders>
              <w:start w:sz="45.60000000000002" w:val="single" w:color="#0074C7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54" w:after="0"/>
              <w:ind w:left="0" w:right="40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29%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90" w:after="0"/>
              <w:ind w:left="0" w:right="3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27%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0" w:after="0"/>
              <w:ind w:left="0" w:right="4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24%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20%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8" w:after="0"/>
              <w:ind w:left="0" w:right="4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19%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2" w:after="0"/>
              <w:ind w:left="19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15%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40</w:t>
            </w:r>
          </w:p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70" w:after="0"/>
              <w:ind w:left="0" w:right="41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34%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4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32%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3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7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28%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06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26%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90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27%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58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23%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42" w:after="0"/>
              <w:ind w:left="0" w:right="3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18%</w:t>
            </w:r>
          </w:p>
        </w:tc>
      </w:tr>
      <w:tr>
        <w:trPr>
          <w:trHeight w:hRule="exact" w:val="68"/>
        </w:trPr>
        <w:tc>
          <w:tcPr>
            <w:tcW w:type="dxa" w:w="484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327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61%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7063"/>
            <w:gridSpan w:val="7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0" w:after="0"/>
              <w:ind w:left="0" w:right="30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880"/>
            <w:vMerge w:val="restart"/>
            <w:tcBorders>
              <w:end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0" w:after="0"/>
              <w:ind w:left="0" w:right="33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53%</w:t>
            </w:r>
          </w:p>
        </w:tc>
        <w:tc>
          <w:tcPr>
            <w:tcW w:type="dxa" w:w="980"/>
            <w:vMerge w:val="restart"/>
            <w:tcBorders>
              <w:start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4" w:after="0"/>
              <w:ind w:left="0" w:right="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44%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0" w:right="52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37%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126"/>
            <w:gridSpan w:val="3"/>
            <w:tcBorders>
              <w:end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2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</w:t>
            </w:r>
          </w:p>
        </w:tc>
        <w:tc>
          <w:tcPr>
            <w:tcW w:type="dxa" w:w="3714"/>
            <w:gridSpan w:val="4"/>
            <w:tcBorders>
              <w:start w:sz="45.60000000000002" w:val="single" w:color="#0074C7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91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41%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4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FFFFFF"/>
                <w:sz w:val="16"/>
              </w:rPr>
              <w:t>30%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018"/>
            <w:gridSpan w:val="2"/>
            <w:vMerge/>
            <w:tcBorders/>
          </w:tcPr>
          <w:p/>
        </w:tc>
        <w:tc>
          <w:tcPr>
            <w:tcW w:type="dxa" w:w="1009"/>
            <w:vMerge/>
            <w:tcBorders>
              <w:end w:sz="45.599999999999454" w:val="single" w:color="#C92C9A"/>
            </w:tcBorders>
          </w:tcPr>
          <w:p/>
        </w:tc>
        <w:tc>
          <w:tcPr>
            <w:tcW w:type="dxa" w:w="1009"/>
            <w:vMerge/>
            <w:tcBorders>
              <w:start w:sz="45.599999999999454" w:val="single" w:color="#C92C9A"/>
            </w:tcBorders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68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84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2017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28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2018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7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2019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2020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2021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2022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364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 restated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156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2024</w:t>
            </w:r>
          </w:p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6" w:after="0"/>
              <w:ind w:left="110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0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39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2017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2018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2019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2020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2021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2022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2023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2" w:after="0"/>
              <w:ind w:left="0" w:right="26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2024</w:t>
            </w:r>
          </w:p>
        </w:tc>
      </w:tr>
      <w:tr>
        <w:trPr>
          <w:trHeight w:hRule="exact" w:val="216"/>
        </w:trPr>
        <w:tc>
          <w:tcPr>
            <w:tcW w:type="dxa" w:w="1982"/>
            <w:gridSpan w:val="5"/>
            <w:tcBorders>
              <w:end w:sz="45.600000000000136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0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2006</w:t>
            </w:r>
          </w:p>
        </w:tc>
        <w:tc>
          <w:tcPr>
            <w:tcW w:type="dxa" w:w="958"/>
            <w:tcBorders>
              <w:start w:sz="45.600000000000136" w:val="single" w:color="#C92C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2011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516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2016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2380"/>
            <w:gridSpan w:val="3"/>
            <w:tcBorders>
              <w:end w:sz="45.599999999999454" w:val="single" w:color="#C92C9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8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2006</w:t>
            </w:r>
          </w:p>
        </w:tc>
        <w:tc>
          <w:tcPr>
            <w:tcW w:type="dxa" w:w="980"/>
            <w:tcBorders>
              <w:start w:sz="45.599999999999454" w:val="single" w:color="#C92C9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2011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498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2016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180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Equities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Bonds</w:t>
            </w:r>
          </w:p>
        </w:tc>
        <w:tc>
          <w:tcPr>
            <w:tcW w:type="dxa" w:w="2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212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Other investments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56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Year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182" w:firstLine="0"/>
              <w:jc w:val="righ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Equities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0" w:right="0" w:firstLine="0"/>
              <w:jc w:val="center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Bonds</w:t>
            </w:r>
          </w:p>
        </w:tc>
        <w:tc>
          <w:tcPr>
            <w:tcW w:type="dxa" w:w="2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2" w:after="0"/>
              <w:ind w:left="19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Other investments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480" w:firstLine="0"/>
              <w:jc w:val="right"/>
            </w:pPr>
            <w:r>
              <w:rPr>
                <w:rFonts w:ascii="Museo" w:hAnsi="Museo" w:eastAsia="Museo"/>
                <w:b/>
                <w:i w:val="0"/>
                <w:color w:val="415364"/>
                <w:sz w:val="16"/>
              </w:rPr>
              <w:t>Year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 xml:space="preserve">Note: figures may not sum to 100 per cent because of rounding.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Note: figures may not sum to 100 per cent because of rounding.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48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00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Source: PPF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5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518" w:right="0" w:firstLine="0"/>
              <w:jc w:val="left"/>
            </w:pPr>
            <w:r>
              <w:rPr>
                <w:rFonts w:ascii="Museo" w:hAnsi="Museo" w:eastAsia="Museo"/>
                <w:b w:val="0"/>
                <w:i w:val="0"/>
                <w:color w:val="415364"/>
                <w:sz w:val="16"/>
              </w:rPr>
              <w:t>Source: PPF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29934" w:h="16838"/>
      <w:pgMar w:top="0" w:right="830" w:bottom="64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