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</w:tblGrid>
      <w:tr>
        <w:trPr>
          <w:trHeight w:hRule="exact" w:val="540"/>
        </w:trPr>
        <w:tc>
          <w:tcPr>
            <w:tcW w:type="dxa" w:w="23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32" w:after="0"/>
              <w:ind w:left="0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60279E"/>
                <w:sz w:val="16"/>
              </w:rPr>
              <w:t>The Purple Book 2024</w:t>
            </w:r>
          </w:p>
        </w:tc>
        <w:tc>
          <w:tcPr>
            <w:tcW w:type="dxa" w:w="1436"/>
            <w:vMerge w:val="restart"/>
            <w:tcBorders/>
            <w:shd w:fill="f1f3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36" w:after="0"/>
              <w:ind w:left="17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Introduction</w:t>
            </w: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482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>Overview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476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68" w:type="dxa"/>
            </w:tblPr>
            <w:tblGrid>
              <w:gridCol w:w="1484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09" w:type="dxa"/>
            </w:tblPr>
            <w:tblGrid>
              <w:gridCol w:w="1480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476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c92c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FFFFFF"/>
                      <w:sz w:val="20"/>
                    </w:rPr>
                    <w:t>07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8636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818" w:type="dxa"/>
            </w:tblPr>
            <w:tblGrid>
              <w:gridCol w:w="1476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484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182" w:type="dxa"/>
            </w:tblPr>
            <w:tblGrid>
              <w:gridCol w:w="1482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>Appendix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1478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 xml:space="preserve">Glossary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182" w:type="dxa"/>
            </w:tblPr>
            <w:tblGrid>
              <w:gridCol w:w="1482"/>
            </w:tblGrid>
            <w:tr>
              <w:trPr>
                <w:trHeight w:hRule="exact" w:val="90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748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 xml:space="preserve">Charts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79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60279E"/>
                <w:sz w:val="32"/>
              </w:rPr>
              <w:t>21</w:t>
            </w:r>
          </w:p>
        </w:tc>
      </w:tr>
      <w:tr>
        <w:trPr>
          <w:trHeight w:hRule="exact" w:val="20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Funding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Claims and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Executive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The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history and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Insolvency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Asset 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Risk 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levy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schemes in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compensation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risk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summary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data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demographics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funding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sensitivities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risk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allocation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reduction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assessment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developments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and tables</w:t>
            </w:r>
          </w:p>
        </w:tc>
        <w:tc>
          <w:tcPr>
            <w:tcW w:type="dxa" w:w="1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432" w:after="506"/>
        <w:ind w:left="0" w:right="0" w:firstLine="0"/>
        <w:jc w:val="left"/>
      </w:pPr>
      <w:r>
        <w:rPr>
          <w:rFonts w:ascii="Museo" w:hAnsi="Museo" w:eastAsia="Museo"/>
          <w:b/>
          <w:i w:val="0"/>
          <w:color w:val="CA2D9A"/>
          <w:sz w:val="32"/>
        </w:rPr>
        <w:t>Asset allocation</w:t>
      </w:r>
      <w:r>
        <w:rPr>
          <w:rFonts w:ascii="Museo" w:hAnsi="Museo" w:eastAsia="Museo"/>
          <w:b w:val="0"/>
          <w:i w:val="0"/>
          <w:color w:val="CA2D9A"/>
          <w:sz w:val="32"/>
        </w:rPr>
        <w:t xml:space="preserve"> continued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1524000</wp:posOffset>
            </wp:positionV>
            <wp:extent cx="17932400" cy="6286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0" cy="6286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9934" w:h="16838"/>
          <w:pgMar w:top="0" w:right="83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170" w:right="2592" w:firstLine="0"/>
        <w:jc w:val="left"/>
      </w:pPr>
      <w:r>
        <w:rPr>
          <w:rFonts w:ascii="Museo" w:hAnsi="Museo" w:eastAsia="Museo"/>
          <w:b/>
          <w:i w:val="0"/>
          <w:color w:val="CA2D9A"/>
          <w:sz w:val="20"/>
        </w:rPr>
        <w:t xml:space="preserve">Figure 7.5 | Bond splits – high-level breakdown </w:t>
      </w:r>
      <w:r>
        <w:br/>
      </w:r>
      <w:r>
        <w:rPr>
          <w:rFonts w:ascii="Museo" w:hAnsi="Museo" w:eastAsia="Museo"/>
          <w:b w:val="0"/>
          <w:i w:val="0"/>
          <w:color w:val="CA2D9A"/>
          <w:sz w:val="20"/>
        </w:rPr>
        <w:t>The proportions of the high-level types of bonds have remained relatively stable compared to last year.</w:t>
      </w:r>
    </w:p>
    <w:p>
      <w:pPr>
        <w:sectPr>
          <w:type w:val="continuous"/>
          <w:pgSz w:w="29934" w:h="16838"/>
          <w:pgMar w:top="0" w:right="830" w:bottom="1440" w:left="850" w:header="720" w:footer="720" w:gutter="0"/>
          <w:cols w:num="2" w:equalWidth="0">
            <w:col w:w="11774" w:space="0"/>
            <w:col w:w="16480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186"/>
        <w:ind w:left="2654" w:right="432" w:firstLine="0"/>
        <w:jc w:val="left"/>
      </w:pPr>
      <w:r>
        <w:rPr>
          <w:rFonts w:ascii="Museo" w:hAnsi="Museo" w:eastAsia="Museo"/>
          <w:b/>
          <w:i w:val="0"/>
          <w:color w:val="CA2D9A"/>
          <w:sz w:val="20"/>
        </w:rPr>
        <w:t xml:space="preserve">Figure 7.6 | Bond splits – granular breakdown of </w:t>
      </w:r>
      <w:r>
        <w:rPr>
          <w:rFonts w:ascii="Museo" w:hAnsi="Museo" w:eastAsia="Museo"/>
          <w:b/>
          <w:i/>
          <w:color w:val="CA2D9A"/>
          <w:sz w:val="20"/>
        </w:rPr>
        <w:t>The Purple Book 2024</w:t>
      </w:r>
      <w:r>
        <w:rPr>
          <w:rFonts w:ascii="Museo" w:hAnsi="Museo" w:eastAsia="Museo"/>
          <w:b/>
          <w:i w:val="0"/>
          <w:color w:val="CA2D9A"/>
          <w:sz w:val="20"/>
        </w:rPr>
        <w:t xml:space="preserve"> dataset </w:t>
      </w:r>
      <w:r>
        <w:br/>
      </w:r>
      <w:r>
        <w:rPr>
          <w:rFonts w:ascii="Museo" w:hAnsi="Museo" w:eastAsia="Museo"/>
          <w:b w:val="0"/>
          <w:i w:val="0"/>
          <w:color w:val="CA2D9A"/>
          <w:sz w:val="20"/>
        </w:rPr>
        <w:t xml:space="preserve">Government fixed-interest and index-linked bonds are mostly long-dated. Investment grade corporate bond proportions are balanced between territory </w:t>
      </w:r>
      <w:r>
        <w:rPr>
          <w:rFonts w:ascii="Museo" w:hAnsi="Museo" w:eastAsia="Museo"/>
          <w:b w:val="0"/>
          <w:i w:val="0"/>
          <w:color w:val="CA2D9A"/>
          <w:sz w:val="20"/>
        </w:rPr>
        <w:t>and term.</w:t>
      </w:r>
    </w:p>
    <w:p>
      <w:pPr>
        <w:sectPr>
          <w:type w:val="nextColumn"/>
          <w:pgSz w:w="29934" w:h="16838"/>
          <w:pgMar w:top="0" w:right="830" w:bottom="1440" w:left="850" w:header="720" w:footer="720" w:gutter="0"/>
          <w:cols w:num="2" w:equalWidth="0">
            <w:col w:w="11774" w:space="0"/>
            <w:col w:w="164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  <w:gridCol w:w="1884"/>
      </w:tblGrid>
      <w:tr>
        <w:trPr>
          <w:trHeight w:hRule="exact" w:val="234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0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Year/</w:t>
            </w: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The Purple Book </w:t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dataset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0" w:after="0"/>
              <w:ind w:left="0" w:right="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Government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9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Weighted average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Index-linked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0" w:after="0"/>
              <w:ind w:left="2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Government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2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Simple average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0" w:after="0"/>
              <w:ind w:left="24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Index-linked</w:t>
            </w:r>
          </w:p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Bond category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All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Tier 1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Short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2" w:after="0"/>
              <w:ind w:left="8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Weighted average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54" w:after="0"/>
              <w:ind w:left="32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Short and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0" w:right="2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Long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23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Unassigned*</w:t>
            </w:r>
          </w:p>
        </w:tc>
      </w:tr>
      <w:tr>
        <w:trPr>
          <w:trHeight w:hRule="exact" w:val="246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2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Corporate 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Corporate 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8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fixed-interest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37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fixed-interest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3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fixed-interest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fixed-interest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2008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33.2%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32.6%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33.9%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47.2%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33.0%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19.8%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Medium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medium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Government fixed-interest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2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19.5%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0.4%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–1.4%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2.5%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18.0%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0.0%</w:t>
            </w:r>
          </w:p>
        </w:tc>
      </w:tr>
      <w:tr>
        <w:trPr>
          <w:trHeight w:hRule="exact" w:val="24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2011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19.6%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44.3%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36.1%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31.2%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47.1%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21.7%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2016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21.9%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33.7%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44.4%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24.4%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49.0%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26.6%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Index-linked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45.5%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0.5%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4.5%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13.8%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26.7%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0.0%</w:t>
            </w:r>
          </w:p>
        </w:tc>
      </w:tr>
      <w:tr>
        <w:trPr>
          <w:trHeight w:hRule="exact" w:val="280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2017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24.1%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31.4%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44.5%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25.9%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46.8%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27.3%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Corporate fixed-interest, of which: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35.0%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58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6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Investment grade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0.4%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0.4%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3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4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24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2018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24.1%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28.8%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47.1%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27.2%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42.1%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30.8%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2019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25.4%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28.4%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46.2%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29.0%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38.9%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32.1%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6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UK investment grade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11.5%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5.5%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6.0%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280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2020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25.9%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28.0%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46.1%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29.4%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36.1%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34.6%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6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Overseas investment grade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10.5%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6.4%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4.1%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56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6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Sub-investment grade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5.3%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9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3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4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23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2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244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2021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24.6%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28.2%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47.2%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30.4%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34.8%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34.8%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2022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22.0%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30.2%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47.8%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30.2%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35.7%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34.1%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6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Private debt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7.3%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4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3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3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</w:tr>
      <w:tr>
        <w:trPr>
          <w:trHeight w:hRule="exact" w:val="280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2023 restated*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19.1%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37.6%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43.3%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25.6%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36.9%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8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37.5%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43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Total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0" w:right="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100%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0" w:right="90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1.3%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3.1%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37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16.3%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11.9%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234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54.8%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138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20"/>
              </w:rPr>
              <w:t>0.0%</w:t>
            </w:r>
          </w:p>
        </w:tc>
      </w:tr>
      <w:tr>
        <w:trPr>
          <w:trHeight w:hRule="exact" w:val="52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7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37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* ‘Unassigned’ is generally where a scheme is in tiers 2 or 3 but did not provide the granular breakdown. 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2024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19.5%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6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35.0%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45.5%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1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27.6%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5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35.3%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37.1%</w:t>
            </w:r>
          </w:p>
        </w:tc>
        <w:tc>
          <w:tcPr>
            <w:tcW w:type="dxa" w:w="5652"/>
            <w:gridSpan w:val="3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* Weighted average only. 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0" w:after="0"/>
              <w:ind w:left="2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Weighted average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7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8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50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Note: the rows may not sum to 100 per cent because of rounding.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5652"/>
            <w:gridSpan w:val="3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7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4" w:after="0"/>
              <w:ind w:left="88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  <w:tc>
          <w:tcPr>
            <w:tcW w:type="dxa" w:w="18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22" w:after="22"/>
        <w:ind w:left="588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>100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rPr>
          <w:trHeight w:hRule="exact" w:val="326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12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7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80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4" w:after="0"/>
              <w:ind w:left="27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34%</w:t>
            </w:r>
          </w:p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8" w:after="0"/>
              <w:ind w:left="0" w:right="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36%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4" w:after="0"/>
              <w:ind w:left="0" w:right="5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0" w:after="0"/>
              <w:ind w:left="28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4" w:after="0"/>
              <w:ind w:left="6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47%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4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46%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7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46%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9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47%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1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48%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30" w:after="0"/>
              <w:ind w:left="0" w:right="4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43%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2" w:after="0"/>
              <w:ind w:left="1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45%</w:t>
            </w:r>
          </w:p>
        </w:tc>
        <w:tc>
          <w:tcPr>
            <w:tcW w:type="dxa" w:w="1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0" w:right="2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30</w:t>
            </w:r>
          </w:p>
        </w:tc>
        <w:tc>
          <w:tcPr>
            <w:tcW w:type="dxa" w:w="37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5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27%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80" w:after="0"/>
              <w:ind w:left="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Investment grade 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8" w:after="0"/>
              <w:ind w:left="0" w:right="9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5%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30" w:after="0"/>
              <w:ind w:left="0" w:right="6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7%</w:t>
            </w:r>
          </w:p>
        </w:tc>
      </w:tr>
      <w:tr>
        <w:trPr>
          <w:trHeight w:hRule="exact" w:val="580"/>
        </w:trPr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94" w:after="0"/>
              <w:ind w:left="0" w:right="0" w:firstLine="0"/>
              <w:jc w:val="center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6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0" w:right="2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  <w:tc>
          <w:tcPr>
            <w:tcW w:type="dxa" w:w="11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38" w:after="0"/>
              <w:ind w:left="0" w:right="3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18%</w:t>
            </w:r>
          </w:p>
        </w:tc>
        <w:tc>
          <w:tcPr>
            <w:tcW w:type="dxa" w:w="25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38" w:after="0"/>
              <w:ind w:left="0" w:right="10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0" w:after="0"/>
              <w:ind w:left="3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60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10</w:t>
            </w:r>
          </w:p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8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33%</w:t>
            </w:r>
          </w:p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54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34%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8" w:after="0"/>
              <w:ind w:left="2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31%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2" w:after="0"/>
              <w:ind w:left="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29%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3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30%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4" w:after="0"/>
              <w:ind w:left="0" w:right="4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38%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4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35%</w:t>
            </w:r>
          </w:p>
        </w:tc>
        <w:tc>
          <w:tcPr>
            <w:tcW w:type="dxa" w:w="1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2" w:after="0"/>
              <w:ind w:left="0" w:right="2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11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0" w:right="3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2%</w:t>
            </w:r>
          </w:p>
        </w:tc>
        <w:tc>
          <w:tcPr>
            <w:tcW w:type="dxa" w:w="25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6" w:after="0"/>
              <w:ind w:left="0" w:right="10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4%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424"/>
            <w:gridSpan w:val="4"/>
            <w:vMerge/>
            <w:tcBorders/>
          </w:tcPr>
          <w:p/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6%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3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424"/>
            <w:gridSpan w:val="4"/>
            <w:vMerge/>
            <w:tcBorders/>
          </w:tcPr>
          <w:p/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664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30" w:after="0"/>
              <w:ind w:left="27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33%</w:t>
            </w:r>
          </w:p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16" w:after="0"/>
              <w:ind w:left="0" w:right="5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2" w:after="0"/>
              <w:ind w:left="28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2" w:after="0"/>
              <w:ind w:left="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6" w:after="0"/>
              <w:ind w:left="0" w:right="4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26%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70" w:after="0"/>
              <w:ind w:left="0" w:right="4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50" w:after="0"/>
              <w:ind w:left="19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1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8" w:after="0"/>
              <w:ind w:left="0" w:right="27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-10</w:t>
            </w:r>
          </w:p>
        </w:tc>
        <w:tc>
          <w:tcPr>
            <w:tcW w:type="dxa" w:w="16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22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Fixed-interest</w:t>
            </w:r>
          </w:p>
        </w:tc>
        <w:tc>
          <w:tcPr>
            <w:tcW w:type="dxa" w:w="21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4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Index-linked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UK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Overseas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3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Sub-investment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4" w:after="0"/>
              <w:ind w:left="0" w:right="3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Private debt</w:t>
            </w:r>
          </w:p>
        </w:tc>
      </w:tr>
      <w:tr>
        <w:trPr>
          <w:trHeight w:hRule="exact" w:val="217"/>
        </w:trPr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424"/>
            <w:gridSpan w:val="4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5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(tier 1 only)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investment grade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investment grade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8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grade</w:t>
            </w:r>
          </w:p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117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6" w:after="0"/>
              <w:ind w:left="40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424"/>
            <w:gridSpan w:val="4"/>
            <w:vMerge/>
            <w:tcBorders/>
          </w:tcPr>
          <w:p/>
        </w:tc>
        <w:tc>
          <w:tcPr>
            <w:tcW w:type="dxa" w:w="4280"/>
            <w:gridSpan w:val="5"/>
            <w:vMerge/>
            <w:tcBorders/>
          </w:tcPr>
          <w:p/>
        </w:tc>
        <w:tc>
          <w:tcPr>
            <w:tcW w:type="dxa" w:w="2568"/>
            <w:gridSpan w:val="3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(tiers 2 &amp; 3)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(tiers 2 &amp; 3)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424"/>
            <w:gridSpan w:val="4"/>
            <w:vMerge/>
            <w:tcBorders/>
          </w:tcPr>
          <w:p/>
        </w:tc>
        <w:tc>
          <w:tcPr>
            <w:tcW w:type="dxa" w:w="376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44" w:after="0"/>
              <w:ind w:left="89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Government bonds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2011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5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2016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26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2017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3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2018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2019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2021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2022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36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 restated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2024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3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Tier 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48"/>
            <w:gridSpan w:val="8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57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6848"/>
            <w:gridSpan w:val="8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4" w:after="0"/>
              <w:ind w:left="254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Corporate bonds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243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8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2008</w:t>
            </w:r>
          </w:p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6848"/>
            <w:gridSpan w:val="8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4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0" w:after="0"/>
              <w:ind w:left="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Long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4" w:after="0"/>
              <w:ind w:left="0" w:right="558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Year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6848"/>
            <w:gridSpan w:val="8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All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Short</w:t>
            </w:r>
          </w:p>
        </w:tc>
        <w:tc>
          <w:tcPr>
            <w:tcW w:type="dxa" w:w="1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Medium</w:t>
            </w:r>
          </w:p>
        </w:tc>
        <w:tc>
          <w:tcPr>
            <w:tcW w:type="dxa" w:w="2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Short and Medium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856"/>
            <w:vMerge/>
            <w:tcBorders/>
          </w:tcPr>
          <w:p/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4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Government fixed-interest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889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Corporate fixed-interest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Index-linked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Source: PPF</w:t>
            </w:r>
          </w:p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1712"/>
            <w:gridSpan w:val="2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  <w:tc>
          <w:tcPr>
            <w:tcW w:type="dxa" w:w="8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14" w:after="0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>Source: PPF</w:t>
      </w:r>
    </w:p>
    <w:p>
      <w:pPr>
        <w:autoSpaceDN w:val="0"/>
        <w:autoSpaceDE w:val="0"/>
        <w:widowControl/>
        <w:spacing w:line="178" w:lineRule="exact" w:before="78" w:after="0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>Note: figures may not sum to 100 per cent because of rounding.</w:t>
      </w:r>
    </w:p>
    <w:sectPr w:rsidR="00FC693F" w:rsidRPr="0006063C" w:rsidSect="00034616">
      <w:type w:val="continuous"/>
      <w:pgSz w:w="29934" w:h="16838"/>
      <w:pgMar w:top="0" w:right="830" w:bottom="1440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