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0</wp:posOffset>
            </wp:positionV>
            <wp:extent cx="15951200" cy="800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1524000</wp:posOffset>
            </wp:positionV>
            <wp:extent cx="18478500" cy="856127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0" cy="856127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</w:tblGrid>
      <w:tr>
        <w:trPr>
          <w:trHeight w:hRule="exact" w:val="240"/>
        </w:trPr>
        <w:tc>
          <w:tcPr>
            <w:tcW w:type="dxa" w:w="20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32" w:after="0"/>
              <w:ind w:left="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60279E"/>
                <w:sz w:val="16"/>
              </w:rPr>
              <w:t>The Purple Book 2024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Introduction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2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Overview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8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01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67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02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103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03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21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04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93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05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31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06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31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FFFFFF"/>
                <w:sz w:val="20"/>
              </w:rPr>
              <w:t>07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5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08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32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09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94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12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11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19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12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Appendix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Glossary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0" w:after="0"/>
              <w:ind w:left="0" w:right="6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Charts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49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60279E"/>
                <w:sz w:val="32"/>
              </w:rPr>
              <w:t>22</w:t>
            </w:r>
          </w:p>
        </w:tc>
      </w:tr>
      <w:tr>
        <w:trPr>
          <w:trHeight w:hRule="exact" w:val="20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Funding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Claims 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Executive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The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history 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Insolvency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3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Asset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Risk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levy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schemes in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compensation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risk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summary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data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demographics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funding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sensitivities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risk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allocation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reduction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assessment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developments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and tables</w:t>
            </w:r>
          </w:p>
        </w:tc>
        <w:tc>
          <w:tcPr>
            <w:tcW w:type="dxa" w:w="1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466" w:after="446"/>
        <w:ind w:left="0" w:right="0" w:firstLine="0"/>
        <w:jc w:val="left"/>
      </w:pPr>
      <w:r>
        <w:rPr>
          <w:rFonts w:ascii="Museo" w:hAnsi="Museo" w:eastAsia="Museo"/>
          <w:b/>
          <w:i w:val="0"/>
          <w:color w:val="CA2D9A"/>
          <w:sz w:val="32"/>
        </w:rPr>
        <w:t>Asset allocation</w:t>
      </w:r>
      <w:r>
        <w:rPr>
          <w:rFonts w:ascii="Museo" w:hAnsi="Museo" w:eastAsia="Museo"/>
          <w:b w:val="0"/>
          <w:i w:val="0"/>
          <w:color w:val="CA2D9A"/>
          <w:sz w:val="32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>
        <w:trPr>
          <w:trHeight w:hRule="exact" w:val="970"/>
        </w:trPr>
        <w:tc>
          <w:tcPr>
            <w:tcW w:type="dxa" w:w="14040"/>
            <w:gridSpan w:val="3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0" w:right="144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CA2D9A"/>
                <w:sz w:val="20"/>
              </w:rPr>
              <w:t xml:space="preserve">Figure 7.7 | Equity splits </w:t>
            </w:r>
            <w:r>
              <w:br/>
            </w:r>
            <w:r>
              <w:rPr>
                <w:rFonts w:ascii="Museo" w:hAnsi="Museo" w:eastAsia="Museo"/>
                <w:b w:val="0"/>
                <w:i w:val="0"/>
                <w:color w:val="CA2D9A"/>
                <w:sz w:val="20"/>
              </w:rPr>
              <w:t xml:space="preserve">Within equities, the proportion invested in UK equities continued to fall, but over the last year there was a sharper drop in the proportion invested in overseas </w:t>
            </w:r>
            <w:r>
              <w:rPr>
                <w:rFonts w:ascii="Museo" w:hAnsi="Museo" w:eastAsia="Museo"/>
                <w:b w:val="0"/>
                <w:i w:val="0"/>
                <w:color w:val="CA2D9A"/>
                <w:sz w:val="20"/>
              </w:rPr>
              <w:t>equities, in favour of private or unquoted equity, whose proportion has risen to over 40 per cent.</w:t>
            </w:r>
          </w:p>
        </w:tc>
        <w:tc>
          <w:tcPr>
            <w:tcW w:type="dxa" w:w="139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318" w:right="864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CA2D9A"/>
                <w:sz w:val="20"/>
              </w:rPr>
              <w:t xml:space="preserve">Figure 7.8 | Weighted average asset allocation of schemes by asset size </w:t>
            </w:r>
            <w:r>
              <w:br/>
            </w:r>
            <w:r>
              <w:rPr>
                <w:rFonts w:ascii="Museo" w:hAnsi="Museo" w:eastAsia="Museo"/>
                <w:b w:val="0"/>
                <w:i w:val="0"/>
                <w:color w:val="CA2D9A"/>
                <w:sz w:val="20"/>
              </w:rPr>
              <w:t xml:space="preserve">Schemes with assets less than £10 million have a lower proportion of their assets invested in bonds, with a higher proportion invested in annuities </w:t>
            </w:r>
            <w:r>
              <w:rPr>
                <w:rFonts w:ascii="Museo" w:hAnsi="Museo" w:eastAsia="Museo"/>
                <w:b w:val="0"/>
                <w:i w:val="0"/>
                <w:color w:val="CA2D9A"/>
                <w:sz w:val="20"/>
              </w:rPr>
              <w:t>and equities.</w:t>
            </w:r>
          </w:p>
        </w:tc>
      </w:tr>
      <w:tr>
        <w:trPr>
          <w:trHeight w:hRule="exact" w:val="640"/>
        </w:trPr>
        <w:tc>
          <w:tcPr>
            <w:tcW w:type="dxa" w:w="54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2" w:after="0"/>
              <w:ind w:left="0" w:right="1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Weighted average</w:t>
            </w:r>
          </w:p>
        </w:tc>
        <w:tc>
          <w:tcPr>
            <w:tcW w:type="dxa" w:w="86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2" w:after="0"/>
              <w:ind w:left="0" w:right="28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Simple average</w:t>
            </w:r>
          </w:p>
        </w:tc>
        <w:tc>
          <w:tcPr>
            <w:tcW w:type="dxa" w:w="81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0" w:after="0"/>
              <w:ind w:left="0" w:right="1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Cash and </w:t>
            </w:r>
          </w:p>
        </w:tc>
        <w:tc>
          <w:tcPr>
            <w:tcW w:type="dxa" w:w="58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0" w:after="0"/>
              <w:ind w:left="0" w:right="29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Diversified </w:t>
            </w:r>
          </w:p>
        </w:tc>
      </w:tr>
      <w:tr>
        <w:trPr>
          <w:trHeight w:hRule="exact" w:val="280"/>
        </w:trPr>
        <w:tc>
          <w:tcPr>
            <w:tcW w:type="dxa" w:w="421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Overseas quoted </w:t>
            </w:r>
          </w:p>
        </w:tc>
        <w:tc>
          <w:tcPr>
            <w:tcW w:type="dxa" w:w="120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Developed </w:t>
            </w:r>
          </w:p>
        </w:tc>
        <w:tc>
          <w:tcPr>
            <w:tcW w:type="dxa" w:w="214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3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Emerging </w:t>
            </w:r>
          </w:p>
        </w:tc>
        <w:tc>
          <w:tcPr>
            <w:tcW w:type="dxa" w:w="254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Overseas quoted </w:t>
            </w:r>
          </w:p>
        </w:tc>
        <w:tc>
          <w:tcPr>
            <w:tcW w:type="dxa" w:w="12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Developed </w:t>
            </w:r>
          </w:p>
        </w:tc>
        <w:tc>
          <w:tcPr>
            <w:tcW w:type="dxa" w:w="26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2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Emerging 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Asset size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Equities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Bonds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deposits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Annuities</w:t>
            </w:r>
          </w:p>
        </w:tc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growth funds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4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Absolute returns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7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Miscellaneous</w:t>
            </w:r>
          </w:p>
        </w:tc>
      </w:tr>
      <w:tr>
        <w:trPr>
          <w:trHeight w:hRule="exact" w:val="22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</w:t>
            </w:r>
          </w:p>
        </w:tc>
        <w:tc>
          <w:tcPr>
            <w:tcW w:type="dxa" w:w="276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2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(tier 1 only </w:t>
            </w:r>
          </w:p>
        </w:tc>
        <w:tc>
          <w:tcPr>
            <w:tcW w:type="dxa" w:w="10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markets 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markets </w:t>
            </w:r>
          </w:p>
        </w:tc>
        <w:tc>
          <w:tcPr>
            <w:tcW w:type="dxa" w:w="17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Unquoted/ </w:t>
            </w:r>
          </w:p>
        </w:tc>
        <w:tc>
          <w:tcPr>
            <w:tcW w:type="dxa" w:w="194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(tier 1 only </w:t>
            </w:r>
          </w:p>
        </w:tc>
        <w:tc>
          <w:tcPr>
            <w:tcW w:type="dxa" w:w="12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markets </w:t>
            </w:r>
          </w:p>
        </w:tc>
        <w:tc>
          <w:tcPr>
            <w:tcW w:type="dxa" w:w="12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markets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4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Unquoted/ 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Under £5m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21.6%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52.5%</w:t>
            </w:r>
          </w:p>
        </w:tc>
        <w:tc>
          <w:tcPr>
            <w:tcW w:type="dxa" w:w="14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-3.4%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2.9%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16.8%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2.9%</w:t>
            </w:r>
          </w:p>
        </w:tc>
      </w:tr>
      <w:tr>
        <w:trPr>
          <w:trHeight w:hRule="exact" w:val="28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Book 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dataset</w:t>
            </w:r>
          </w:p>
        </w:tc>
        <w:tc>
          <w:tcPr>
            <w:tcW w:type="dxa" w:w="12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8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UK quoted</w:t>
            </w:r>
          </w:p>
        </w:tc>
        <w:tc>
          <w:tcPr>
            <w:tcW w:type="dxa" w:w="12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7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 from 2023)</w:t>
            </w:r>
          </w:p>
        </w:tc>
        <w:tc>
          <w:tcPr>
            <w:tcW w:type="dxa" w:w="132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(tiers 2 and 3)</w:t>
            </w:r>
          </w:p>
        </w:tc>
        <w:tc>
          <w:tcPr>
            <w:tcW w:type="dxa" w:w="1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(tiers 2 and 3)</w:t>
            </w:r>
          </w:p>
        </w:tc>
        <w:tc>
          <w:tcPr>
            <w:tcW w:type="dxa" w:w="8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Private</w:t>
            </w:r>
          </w:p>
        </w:tc>
        <w:tc>
          <w:tcPr>
            <w:tcW w:type="dxa" w:w="11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UK quoted</w:t>
            </w:r>
          </w:p>
        </w:tc>
        <w:tc>
          <w:tcPr>
            <w:tcW w:type="dxa" w:w="12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30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from 2023)</w:t>
            </w:r>
          </w:p>
        </w:tc>
        <w:tc>
          <w:tcPr>
            <w:tcW w:type="dxa" w:w="12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(tiers 2 and 3)</w:t>
            </w:r>
          </w:p>
        </w:tc>
        <w:tc>
          <w:tcPr>
            <w:tcW w:type="dxa" w:w="1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2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(tiers 2 and 3)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4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Private</w:t>
            </w:r>
          </w:p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£5m–£10m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21.3%</w:t>
            </w:r>
          </w:p>
        </w:tc>
        <w:tc>
          <w:tcPr>
            <w:tcW w:type="dxa" w:w="10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58.8%</w:t>
            </w:r>
          </w:p>
        </w:tc>
        <w:tc>
          <w:tcPr>
            <w:tcW w:type="dxa" w:w="14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-8.0%</w:t>
            </w:r>
          </w:p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2.4%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15.2%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8.3%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0.3%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</w:tr>
      <w:tr>
        <w:trPr>
          <w:trHeight w:hRule="exact" w:val="56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2008</w:t>
            </w:r>
          </w:p>
        </w:tc>
        <w:tc>
          <w:tcPr>
            <w:tcW w:type="dxa" w:w="14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48.2%</w:t>
            </w:r>
          </w:p>
        </w:tc>
        <w:tc>
          <w:tcPr>
            <w:tcW w:type="dxa" w:w="15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51.8%</w:t>
            </w:r>
          </w:p>
        </w:tc>
        <w:tc>
          <w:tcPr>
            <w:tcW w:type="dxa" w:w="8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1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79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60.4%</w:t>
            </w:r>
          </w:p>
        </w:tc>
        <w:tc>
          <w:tcPr>
            <w:tcW w:type="dxa" w:w="151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39.6%</w:t>
            </w:r>
          </w:p>
        </w:tc>
        <w:tc>
          <w:tcPr>
            <w:tcW w:type="dxa" w:w="125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£10m–£50m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16.6%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8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71.5%</w:t>
            </w:r>
          </w:p>
        </w:tc>
        <w:tc>
          <w:tcPr>
            <w:tcW w:type="dxa" w:w="15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-12.3%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2.2%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13.4%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5.5%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1.5%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1.6%</w:t>
            </w:r>
          </w:p>
        </w:tc>
      </w:tr>
      <w:tr>
        <w:trPr>
          <w:trHeight w:hRule="exact" w:val="28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2011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38.0%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57.2%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4.8%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52.7%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46.1%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1.2%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£50m–£100m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15.7%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0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77.1%</w:t>
            </w:r>
          </w:p>
        </w:tc>
        <w:tc>
          <w:tcPr>
            <w:tcW w:type="dxa" w:w="15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-14.0%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2.8%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11.5%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2.7%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2.4%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1.8%</w:t>
            </w:r>
          </w:p>
        </w:tc>
      </w:tr>
      <w:tr>
        <w:trPr>
          <w:trHeight w:hRule="exact" w:val="28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2016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22.4%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68.6%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9.0%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38.8%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58.6%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2.6%</w:t>
            </w:r>
          </w:p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£100m–£1bn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8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14.3%</w:t>
            </w:r>
          </w:p>
        </w:tc>
        <w:tc>
          <w:tcPr>
            <w:tcW w:type="dxa" w:w="10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74.7%</w:t>
            </w:r>
          </w:p>
        </w:tc>
        <w:tc>
          <w:tcPr>
            <w:tcW w:type="dxa" w:w="14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5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-11.9%</w:t>
            </w:r>
          </w:p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3.9%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13.8%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1.3%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2.8%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1.1%</w:t>
            </w:r>
          </w:p>
        </w:tc>
      </w:tr>
      <w:tr>
        <w:trPr>
          <w:trHeight w:hRule="exact" w:val="52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2017</w:t>
            </w:r>
          </w:p>
        </w:tc>
        <w:tc>
          <w:tcPr>
            <w:tcW w:type="dxa" w:w="14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20.5%</w:t>
            </w:r>
          </w:p>
        </w:tc>
        <w:tc>
          <w:tcPr>
            <w:tcW w:type="dxa" w:w="15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69.0%</w:t>
            </w:r>
          </w:p>
        </w:tc>
        <w:tc>
          <w:tcPr>
            <w:tcW w:type="dxa" w:w="8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10.5%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36.3%</w:t>
            </w:r>
          </w:p>
        </w:tc>
        <w:tc>
          <w:tcPr>
            <w:tcW w:type="dxa" w:w="151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61.0%</w:t>
            </w:r>
          </w:p>
        </w:tc>
        <w:tc>
          <w:tcPr>
            <w:tcW w:type="dxa" w:w="125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2.7%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Over £1bn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8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15.7%</w:t>
            </w:r>
          </w:p>
        </w:tc>
        <w:tc>
          <w:tcPr>
            <w:tcW w:type="dxa" w:w="10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4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68.0%</w:t>
            </w:r>
          </w:p>
        </w:tc>
        <w:tc>
          <w:tcPr>
            <w:tcW w:type="dxa" w:w="14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-2.5%</w:t>
            </w:r>
          </w:p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6.9%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7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8.0%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0.5%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2.6%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0.8%</w:t>
            </w:r>
          </w:p>
        </w:tc>
      </w:tr>
      <w:tr>
        <w:trPr>
          <w:trHeight w:hRule="exact" w:val="174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2018</w:t>
            </w:r>
          </w:p>
        </w:tc>
        <w:tc>
          <w:tcPr>
            <w:tcW w:type="dxa" w:w="14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18.6%</w:t>
            </w:r>
          </w:p>
        </w:tc>
        <w:tc>
          <w:tcPr>
            <w:tcW w:type="dxa" w:w="15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69.4%</w:t>
            </w:r>
          </w:p>
        </w:tc>
        <w:tc>
          <w:tcPr>
            <w:tcW w:type="dxa" w:w="8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12.0%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23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32.1%</w:t>
            </w:r>
          </w:p>
        </w:tc>
        <w:tc>
          <w:tcPr>
            <w:tcW w:type="dxa" w:w="151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65.0%</w:t>
            </w:r>
          </w:p>
        </w:tc>
        <w:tc>
          <w:tcPr>
            <w:tcW w:type="dxa" w:w="125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3.0%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3980"/>
            <w:gridSpan w:val="1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73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120</w:t>
            </w:r>
          </w:p>
        </w:tc>
      </w:tr>
      <w:tr>
        <w:trPr>
          <w:trHeight w:hRule="exact" w:val="238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2019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16.6%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69.7%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13.7%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29.6%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66.7%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3.7%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2020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13.3%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69.0%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17.7%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22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26.9%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68.4%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4.8%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4" w:after="0"/>
              <w:ind w:left="0" w:right="3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0" w:right="5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8%</w:t>
            </w:r>
          </w:p>
        </w:tc>
        <w:tc>
          <w:tcPr>
            <w:tcW w:type="dxa" w:w="33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0" w:right="165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40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11%</w:t>
            </w:r>
          </w:p>
        </w:tc>
        <w:tc>
          <w:tcPr>
            <w:tcW w:type="dxa" w:w="2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0" w:after="0"/>
              <w:ind w:left="4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2" w:after="0"/>
              <w:ind w:left="0" w:right="63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8%</w:t>
            </w:r>
          </w:p>
        </w:tc>
      </w:tr>
      <w:tr>
        <w:trPr>
          <w:trHeight w:hRule="exact" w:val="50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2021</w:t>
            </w:r>
          </w:p>
        </w:tc>
        <w:tc>
          <w:tcPr>
            <w:tcW w:type="dxa" w:w="14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11.6%</w:t>
            </w:r>
          </w:p>
        </w:tc>
        <w:tc>
          <w:tcPr>
            <w:tcW w:type="dxa" w:w="15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68.3%</w:t>
            </w:r>
          </w:p>
        </w:tc>
        <w:tc>
          <w:tcPr>
            <w:tcW w:type="dxa" w:w="8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20.1%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22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24.9%</w:t>
            </w:r>
          </w:p>
        </w:tc>
        <w:tc>
          <w:tcPr>
            <w:tcW w:type="dxa" w:w="151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69.4%</w:t>
            </w:r>
          </w:p>
        </w:tc>
        <w:tc>
          <w:tcPr>
            <w:tcW w:type="dxa" w:w="125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5.8%</w:t>
            </w:r>
          </w:p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3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6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13%</w:t>
            </w:r>
          </w:p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5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2022</w:t>
            </w:r>
          </w:p>
        </w:tc>
        <w:tc>
          <w:tcPr>
            <w:tcW w:type="dxa" w:w="1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4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9.9%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5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68.6%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21.5%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22.5%</w:t>
            </w:r>
          </w:p>
        </w:tc>
        <w:tc>
          <w:tcPr>
            <w:tcW w:type="dxa" w:w="15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5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70.9%</w:t>
            </w:r>
          </w:p>
        </w:tc>
        <w:tc>
          <w:tcPr>
            <w:tcW w:type="dxa" w:w="1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0" w:right="3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17%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</w:tr>
      <w:tr>
        <w:trPr>
          <w:trHeight w:hRule="exact" w:val="128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2023 restated*</w:t>
            </w:r>
          </w:p>
        </w:tc>
        <w:tc>
          <w:tcPr>
            <w:tcW w:type="dxa" w:w="149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7.6%</w:t>
            </w:r>
          </w:p>
        </w:tc>
        <w:tc>
          <w:tcPr>
            <w:tcW w:type="dxa" w:w="127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1.4%</w:t>
            </w:r>
          </w:p>
        </w:tc>
        <w:tc>
          <w:tcPr>
            <w:tcW w:type="dxa" w:w="107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53.0%</w:t>
            </w:r>
          </w:p>
        </w:tc>
        <w:tc>
          <w:tcPr>
            <w:tcW w:type="dxa" w:w="13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8.0%</w:t>
            </w:r>
          </w:p>
        </w:tc>
        <w:tc>
          <w:tcPr>
            <w:tcW w:type="dxa" w:w="99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30.0%</w:t>
            </w:r>
          </w:p>
        </w:tc>
        <w:tc>
          <w:tcPr>
            <w:tcW w:type="dxa" w:w="1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20.3%</w:t>
            </w:r>
          </w:p>
        </w:tc>
        <w:tc>
          <w:tcPr>
            <w:tcW w:type="dxa" w:w="13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28.7%</w:t>
            </w:r>
          </w:p>
        </w:tc>
        <w:tc>
          <w:tcPr>
            <w:tcW w:type="dxa" w:w="127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37.1%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4.7%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9.3%</w:t>
            </w:r>
          </w:p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94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2" w:after="0"/>
              <w:ind w:left="1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52%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32" w:after="0"/>
              <w:ind w:left="0" w:right="5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59%</w:t>
            </w:r>
          </w:p>
        </w:tc>
        <w:tc>
          <w:tcPr>
            <w:tcW w:type="dxa" w:w="33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2" w:after="0"/>
              <w:ind w:left="0" w:right="16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71%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6" w:after="0"/>
              <w:ind w:left="3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77%</w:t>
            </w:r>
          </w:p>
        </w:tc>
        <w:tc>
          <w:tcPr>
            <w:tcW w:type="dxa" w:w="2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10" w:after="0"/>
              <w:ind w:left="4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75%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6" w:after="0"/>
              <w:ind w:left="0" w:right="5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68%</w:t>
            </w:r>
          </w:p>
        </w:tc>
      </w:tr>
      <w:tr>
        <w:trPr>
          <w:trHeight w:hRule="exact" w:val="26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2024</w:t>
            </w:r>
          </w:p>
        </w:tc>
        <w:tc>
          <w:tcPr>
            <w:tcW w:type="dxa" w:w="14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2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1.4%</w:t>
            </w:r>
          </w:p>
        </w:tc>
        <w:tc>
          <w:tcPr>
            <w:tcW w:type="dxa" w:w="10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41.7%</w:t>
            </w:r>
          </w:p>
        </w:tc>
        <w:tc>
          <w:tcPr>
            <w:tcW w:type="dxa" w:w="1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6.7%</w:t>
            </w:r>
          </w:p>
        </w:tc>
        <w:tc>
          <w:tcPr>
            <w:tcW w:type="dxa" w:w="9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43.6%</w:t>
            </w:r>
          </w:p>
        </w:tc>
        <w:tc>
          <w:tcPr>
            <w:tcW w:type="dxa" w:w="1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27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17.7%</w:t>
            </w:r>
          </w:p>
        </w:tc>
        <w:tc>
          <w:tcPr>
            <w:tcW w:type="dxa" w:w="13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29.8%</w:t>
            </w:r>
          </w:p>
        </w:tc>
        <w:tc>
          <w:tcPr>
            <w:tcW w:type="dxa" w:w="12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33.9%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4.4%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14.2%</w:t>
            </w:r>
          </w:p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14040"/>
            <w:gridSpan w:val="3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* Weighted average only.</w:t>
            </w:r>
          </w:p>
          <w:p>
            <w:pPr>
              <w:autoSpaceDN w:val="0"/>
              <w:autoSpaceDE w:val="0"/>
              <w:widowControl/>
              <w:spacing w:line="180" w:lineRule="exact" w:before="76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Note: the rows may not sum to 100 per cent because of rounding.</w:t>
            </w:r>
          </w:p>
          <w:p>
            <w:pPr>
              <w:autoSpaceDN w:val="0"/>
              <w:autoSpaceDE w:val="0"/>
              <w:widowControl/>
              <w:spacing w:line="182" w:lineRule="exact" w:before="224" w:after="0"/>
              <w:ind w:left="0" w:right="589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Weighted average</w:t>
            </w:r>
          </w:p>
        </w:tc>
        <w:tc>
          <w:tcPr>
            <w:tcW w:type="dxa" w:w="523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0" w:after="0"/>
              <w:ind w:left="1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52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9351"/>
            <w:gridSpan w:val="37"/>
            <w:vMerge/>
            <w:tcBorders/>
          </w:tcPr>
          <w:p/>
        </w:tc>
        <w:tc>
          <w:tcPr>
            <w:tcW w:type="dxa" w:w="139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8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</w:tr>
      <w:tr>
        <w:trPr>
          <w:trHeight w:hRule="exact" w:val="120"/>
        </w:trPr>
        <w:tc>
          <w:tcPr>
            <w:tcW w:type="dxa" w:w="19351"/>
            <w:gridSpan w:val="37"/>
            <w:vMerge/>
            <w:tcBorders/>
          </w:tcPr>
          <w:p/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2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21%</w:t>
            </w:r>
          </w:p>
        </w:tc>
        <w:tc>
          <w:tcPr>
            <w:tcW w:type="dxa" w:w="33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16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17%</w:t>
            </w:r>
          </w:p>
        </w:tc>
        <w:tc>
          <w:tcPr>
            <w:tcW w:type="dxa" w:w="2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4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  <w:tc>
          <w:tcPr>
            <w:tcW w:type="dxa" w:w="2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4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</w:tr>
      <w:tr>
        <w:trPr>
          <w:trHeight w:hRule="exact" w:val="160"/>
        </w:trPr>
        <w:tc>
          <w:tcPr>
            <w:tcW w:type="dxa" w:w="10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100</w:t>
            </w:r>
          </w:p>
        </w:tc>
        <w:tc>
          <w:tcPr>
            <w:tcW w:type="dxa" w:w="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0" w:after="0"/>
              <w:ind w:left="0" w:right="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52%</w:t>
            </w:r>
          </w:p>
        </w:tc>
        <w:tc>
          <w:tcPr>
            <w:tcW w:type="dxa" w:w="189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8" w:after="0"/>
              <w:ind w:left="0" w:right="5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5%</w:t>
            </w:r>
          </w:p>
        </w:tc>
        <w:tc>
          <w:tcPr>
            <w:tcW w:type="dxa" w:w="123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4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9%</w:t>
            </w:r>
          </w:p>
        </w:tc>
        <w:tc>
          <w:tcPr>
            <w:tcW w:type="dxa" w:w="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2" w:after="0"/>
              <w:ind w:left="0" w:right="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10%</w:t>
            </w:r>
          </w:p>
        </w:tc>
        <w:tc>
          <w:tcPr>
            <w:tcW w:type="dxa" w:w="151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4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12%</w:t>
            </w:r>
          </w:p>
        </w:tc>
        <w:tc>
          <w:tcPr>
            <w:tcW w:type="dxa" w:w="111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11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  <w:tc>
          <w:tcPr>
            <w:tcW w:type="dxa" w:w="111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27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0" w:right="5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21%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58" w:after="0"/>
              <w:ind w:left="0" w:right="3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90" w:after="0"/>
              <w:ind w:left="2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3138"/>
            <w:gridSpan w:val="6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5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-8%</w:t>
            </w:r>
          </w:p>
        </w:tc>
        <w:tc>
          <w:tcPr>
            <w:tcW w:type="dxa" w:w="3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0" w:right="15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-12%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8" w:after="0"/>
              <w:ind w:left="37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-14%</w:t>
            </w:r>
          </w:p>
        </w:tc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" w:after="0"/>
              <w:ind w:left="45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-12%</w:t>
            </w:r>
          </w:p>
        </w:tc>
      </w:tr>
      <w:tr>
        <w:trPr>
          <w:trHeight w:hRule="exact" w:val="260"/>
        </w:trPr>
        <w:tc>
          <w:tcPr>
            <w:tcW w:type="dxa" w:w="10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0" w:after="0"/>
              <w:ind w:left="0" w:right="2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523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39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7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-20</w:t>
            </w:r>
          </w:p>
        </w:tc>
      </w:tr>
      <w:tr>
        <w:trPr>
          <w:trHeight w:hRule="exact" w:val="280"/>
        </w:trPr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2615"/>
            <w:gridSpan w:val="5"/>
            <w:vMerge/>
            <w:tcBorders/>
          </w:tcPr>
          <w:p/>
        </w:tc>
        <w:tc>
          <w:tcPr>
            <w:tcW w:type="dxa" w:w="1046"/>
            <w:gridSpan w:val="2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Under £5m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£5–£10m</w:t>
            </w:r>
          </w:p>
        </w:tc>
        <w:tc>
          <w:tcPr>
            <w:tcW w:type="dxa" w:w="3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2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£10m–£50m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£50m–£100m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4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£100m–£1bn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Over £1bn</w:t>
            </w:r>
          </w:p>
        </w:tc>
      </w:tr>
      <w:tr>
        <w:trPr>
          <w:trHeight w:hRule="exact" w:val="280"/>
        </w:trPr>
        <w:tc>
          <w:tcPr>
            <w:tcW w:type="dxa" w:w="54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24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57%</w:t>
            </w:r>
          </w:p>
        </w:tc>
        <w:tc>
          <w:tcPr>
            <w:tcW w:type="dxa" w:w="86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7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8%</w:t>
            </w:r>
          </w:p>
        </w:tc>
        <w:tc>
          <w:tcPr>
            <w:tcW w:type="dxa" w:w="139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607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Asset size</w:t>
            </w:r>
          </w:p>
        </w:tc>
      </w:tr>
      <w:tr>
        <w:trPr>
          <w:trHeight w:hRule="exact" w:val="20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3128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4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4" w:after="0"/>
              <w:ind w:left="0" w:right="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51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4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11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70%</w:t>
            </w:r>
          </w:p>
        </w:tc>
        <w:tc>
          <w:tcPr>
            <w:tcW w:type="dxa" w:w="111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0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68%</w:t>
            </w:r>
          </w:p>
        </w:tc>
        <w:tc>
          <w:tcPr>
            <w:tcW w:type="dxa" w:w="25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54" w:after="0"/>
              <w:ind w:left="4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4" w:after="0"/>
              <w:ind w:left="0" w:right="7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4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Cash and deposits</w:t>
            </w:r>
          </w:p>
        </w:tc>
        <w:tc>
          <w:tcPr>
            <w:tcW w:type="dxa" w:w="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Equities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Bonds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Property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Annuities</w:t>
            </w:r>
          </w:p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Diversified growth funds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Absolute returns</w:t>
            </w:r>
          </w:p>
        </w:tc>
        <w:tc>
          <w:tcPr>
            <w:tcW w:type="dxa" w:w="42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Miscellaneous</w:t>
            </w:r>
          </w:p>
        </w:tc>
      </w:tr>
      <w:tr>
        <w:trPr>
          <w:trHeight w:hRule="exact" w:val="660"/>
        </w:trPr>
        <w:tc>
          <w:tcPr>
            <w:tcW w:type="dxa" w:w="523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0" w:after="0"/>
              <w:ind w:left="1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5230"/>
            <w:gridSpan w:val="10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2092"/>
            <w:gridSpan w:val="4"/>
            <w:vMerge/>
            <w:tcBorders/>
          </w:tcPr>
          <w:p/>
        </w:tc>
        <w:tc>
          <w:tcPr>
            <w:tcW w:type="dxa" w:w="1569"/>
            <w:gridSpan w:val="3"/>
            <w:vMerge/>
            <w:tcBorders/>
          </w:tcPr>
          <w:p/>
        </w:tc>
        <w:tc>
          <w:tcPr>
            <w:tcW w:type="dxa" w:w="4184"/>
            <w:gridSpan w:val="8"/>
            <w:vMerge/>
            <w:tcBorders/>
          </w:tcPr>
          <w:p/>
        </w:tc>
        <w:tc>
          <w:tcPr>
            <w:tcW w:type="dxa" w:w="523"/>
            <w:vMerge/>
            <w:tcBorders/>
          </w:tcPr>
          <w:p/>
        </w:tc>
        <w:tc>
          <w:tcPr>
            <w:tcW w:type="dxa" w:w="13980"/>
            <w:gridSpan w:val="1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3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Source: PPF</w:t>
            </w:r>
          </w:p>
        </w:tc>
      </w:tr>
      <w:tr>
        <w:trPr>
          <w:trHeight w:hRule="exact" w:val="400"/>
        </w:trPr>
        <w:tc>
          <w:tcPr>
            <w:tcW w:type="dxa" w:w="14040"/>
            <w:gridSpan w:val="3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46" w:val="left"/>
              </w:tabs>
              <w:autoSpaceDE w:val="0"/>
              <w:widowControl/>
              <w:spacing w:line="202" w:lineRule="exact" w:before="0" w:after="0"/>
              <w:ind w:left="12086" w:right="576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53% </w:t>
            </w:r>
            <w:r>
              <w:br/>
            </w:r>
            <w:r>
              <w:tab/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42%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2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48%</w:t>
            </w:r>
          </w:p>
        </w:tc>
        <w:tc>
          <w:tcPr>
            <w:tcW w:type="dxa" w:w="12460"/>
            <w:gridSpan w:val="3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0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38%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0" w:after="0"/>
              <w:ind w:left="0" w:right="8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312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21%</w:t>
            </w:r>
          </w:p>
        </w:tc>
        <w:tc>
          <w:tcPr>
            <w:tcW w:type="dxa" w:w="15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41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1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17%</w:t>
            </w:r>
          </w:p>
        </w:tc>
        <w:tc>
          <w:tcPr>
            <w:tcW w:type="dxa" w:w="11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13%</w:t>
            </w:r>
          </w:p>
        </w:tc>
        <w:tc>
          <w:tcPr>
            <w:tcW w:type="dxa" w:w="11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12%</w:t>
            </w:r>
          </w:p>
        </w:tc>
        <w:tc>
          <w:tcPr>
            <w:tcW w:type="dxa" w:w="127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0" w:right="5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10%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0" w:after="0"/>
              <w:ind w:left="0" w:right="4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8%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6" w:after="0"/>
              <w:ind w:left="0" w:right="7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1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2008</w:t>
            </w:r>
          </w:p>
        </w:tc>
        <w:tc>
          <w:tcPr>
            <w:tcW w:type="dxa" w:w="13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2011</w:t>
            </w:r>
          </w:p>
        </w:tc>
        <w:tc>
          <w:tcPr>
            <w:tcW w:type="dxa" w:w="12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2016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2017</w:t>
            </w:r>
          </w:p>
        </w:tc>
        <w:tc>
          <w:tcPr>
            <w:tcW w:type="dxa" w:w="15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2018</w:t>
            </w:r>
          </w:p>
        </w:tc>
        <w:tc>
          <w:tcPr>
            <w:tcW w:type="dxa" w:w="11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2019</w:t>
            </w:r>
          </w:p>
        </w:tc>
        <w:tc>
          <w:tcPr>
            <w:tcW w:type="dxa" w:w="11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2020</w:t>
            </w:r>
          </w:p>
        </w:tc>
        <w:tc>
          <w:tcPr>
            <w:tcW w:type="dxa" w:w="10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2021</w:t>
            </w:r>
          </w:p>
        </w:tc>
        <w:tc>
          <w:tcPr>
            <w:tcW w:type="dxa" w:w="11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2022</w:t>
            </w:r>
          </w:p>
        </w:tc>
        <w:tc>
          <w:tcPr>
            <w:tcW w:type="dxa" w:w="13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 restated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5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2024</w:t>
            </w:r>
          </w:p>
        </w:tc>
        <w:tc>
          <w:tcPr>
            <w:tcW w:type="dxa" w:w="8891"/>
            <w:gridSpan w:val="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2" w:lineRule="exact" w:before="40" w:after="56"/>
        <w:ind w:left="0" w:right="20704" w:firstLine="0"/>
        <w:jc w:val="right"/>
      </w:pPr>
      <w:r>
        <w:rPr>
          <w:rFonts w:ascii="Museo" w:hAnsi="Museo" w:eastAsia="Museo"/>
          <w:b/>
          <w:i w:val="0"/>
          <w:color w:val="415364"/>
          <w:sz w:val="16"/>
        </w:rPr>
        <w:t>Year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.0" w:type="dxa"/>
      </w:tblPr>
      <w:tblGrid>
        <w:gridCol w:w="5651"/>
        <w:gridCol w:w="5651"/>
        <w:gridCol w:w="5651"/>
        <w:gridCol w:w="5651"/>
        <w:gridCol w:w="5651"/>
      </w:tblGrid>
      <w:tr>
        <w:trPr>
          <w:trHeight w:hRule="exact" w:val="29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UK quoted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Overseas quoted (tier 1 only)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Developed markets (tiers 2 and 3)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Emerging markets (tiers 2 and 3)</w:t>
            </w:r>
          </w:p>
        </w:tc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2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Unquoted/Private</w:t>
            </w:r>
          </w:p>
        </w:tc>
      </w:tr>
    </w:tbl>
    <w:p>
      <w:pPr>
        <w:autoSpaceDN w:val="0"/>
        <w:autoSpaceDE w:val="0"/>
        <w:widowControl/>
        <w:spacing w:line="180" w:lineRule="exact" w:before="200" w:after="0"/>
        <w:ind w:left="156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 xml:space="preserve">Note: figures may not sum to 100 per cent because of rounding. </w:t>
      </w:r>
    </w:p>
    <w:p>
      <w:pPr>
        <w:autoSpaceDN w:val="0"/>
        <w:autoSpaceDE w:val="0"/>
        <w:widowControl/>
        <w:spacing w:line="224" w:lineRule="exact" w:before="196" w:after="0"/>
        <w:ind w:left="156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Starting with the 2023 scheme return, ‘overseas quoted’ is now split into two categories for tier 2 and 3 schemes – ‘developed markets’ and ‘emerging markets’. </w:t>
      </w:r>
    </w:p>
    <w:p>
      <w:pPr>
        <w:autoSpaceDN w:val="0"/>
        <w:autoSpaceDE w:val="0"/>
        <w:widowControl/>
        <w:spacing w:line="224" w:lineRule="exact" w:before="16" w:after="0"/>
        <w:ind w:left="156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The three overseas equity categories in shades of blue in the bars for 2023 onwards should be compared with the blue bars in the years prior to 2023. </w:t>
      </w:r>
    </w:p>
    <w:p>
      <w:pPr>
        <w:autoSpaceDN w:val="0"/>
        <w:autoSpaceDE w:val="0"/>
        <w:widowControl/>
        <w:spacing w:line="180" w:lineRule="exact" w:before="180" w:after="0"/>
        <w:ind w:left="156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>Source: PPF</w:t>
      </w:r>
    </w:p>
    <w:sectPr w:rsidR="00FC693F" w:rsidRPr="0006063C" w:rsidSect="00034616">
      <w:pgSz w:w="29934" w:h="16838"/>
      <w:pgMar w:top="150" w:right="830" w:bottom="970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