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1524000</wp:posOffset>
            </wp:positionV>
            <wp:extent cx="17945100" cy="8636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45100" cy="8636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0</wp:posOffset>
            </wp:positionV>
            <wp:extent cx="17462500" cy="800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0" cy="800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24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14" w:after="0"/>
              <w:ind w:left="104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FFFFFF"/>
                <w:sz w:val="16"/>
              </w:rPr>
              <w:t>The Purple Book 2025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3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Introduction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2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Overview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8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01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67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02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1036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03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21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04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434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05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17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06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31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FFFFFF"/>
                <w:sz w:val="20"/>
              </w:rPr>
              <w:t>07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5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08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0" w:right="832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09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94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12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11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0" w:after="0"/>
              <w:ind w:left="19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20"/>
              </w:rPr>
              <w:t>12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Appendix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Glossary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0" w:after="0"/>
              <w:ind w:left="0" w:right="6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Charts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49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5E368C"/>
                <w:sz w:val="32"/>
              </w:rPr>
              <w:t>22</w:t>
            </w:r>
          </w:p>
        </w:tc>
      </w:tr>
      <w:tr>
        <w:trPr>
          <w:trHeight w:hRule="exact" w:val="20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Claims 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PPF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Executive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The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Scheme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Scheme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Funding history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Insolvency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3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Asset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Risk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PPF levy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schemes in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compensation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PPF risk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summary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data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demographics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funding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and sensitivities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risk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reduction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2024/25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assessment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2024/25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developments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and tables</w:t>
            </w:r>
          </w:p>
        </w:tc>
        <w:tc>
          <w:tcPr>
            <w:tcW w:type="dxa" w:w="1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466" w:after="0"/>
        <w:ind w:left="0" w:right="0" w:firstLine="0"/>
        <w:jc w:val="left"/>
      </w:pPr>
      <w:r>
        <w:rPr>
          <w:rFonts w:ascii="Museo" w:hAnsi="Museo" w:eastAsia="Museo"/>
          <w:b/>
          <w:i w:val="0"/>
          <w:color w:val="C63493"/>
          <w:sz w:val="32"/>
        </w:rPr>
        <w:t>Asset allocation</w:t>
      </w:r>
      <w:r>
        <w:rPr>
          <w:rFonts w:ascii="Museo" w:hAnsi="Museo" w:eastAsia="Museo"/>
          <w:b w:val="0"/>
          <w:i w:val="0"/>
          <w:color w:val="C63493"/>
          <w:sz w:val="32"/>
        </w:rPr>
        <w:t xml:space="preserve"> continued</w:t>
      </w:r>
    </w:p>
    <w:p>
      <w:pPr>
        <w:autoSpaceDN w:val="0"/>
        <w:tabs>
          <w:tab w:pos="14428" w:val="left"/>
        </w:tabs>
        <w:autoSpaceDE w:val="0"/>
        <w:widowControl/>
        <w:spacing w:line="226" w:lineRule="exact" w:before="506" w:after="238"/>
        <w:ind w:left="170" w:right="0" w:firstLine="0"/>
        <w:jc w:val="left"/>
      </w:pPr>
      <w:r>
        <w:rPr>
          <w:rFonts w:ascii="Museo" w:hAnsi="Museo" w:eastAsia="Museo"/>
          <w:b/>
          <w:i w:val="0"/>
          <w:color w:val="FFFFFF"/>
          <w:sz w:val="20"/>
        </w:rPr>
        <w:t xml:space="preserve">Figure 7.3 | Weighted average asset allocation in total assets </w:t>
      </w:r>
      <w:r>
        <w:tab/>
      </w:r>
      <w:r>
        <w:rPr>
          <w:rFonts w:ascii="Museo" w:hAnsi="Museo" w:eastAsia="Museo"/>
          <w:b/>
          <w:i w:val="0"/>
          <w:color w:val="FFFFFF"/>
          <w:sz w:val="20"/>
        </w:rPr>
        <w:t>Figure 7.4 | Asset allocation: simple averages</w:t>
      </w:r>
    </w:p>
    <w:p>
      <w:pPr>
        <w:sectPr>
          <w:pgSz w:w="29934" w:h="16838"/>
          <w:pgMar w:top="150" w:right="830" w:bottom="49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70" w:right="288" w:firstLine="0"/>
        <w:jc w:val="left"/>
      </w:pPr>
      <w:r>
        <w:rPr>
          <w:rFonts w:ascii="Museo" w:hAnsi="Museo" w:eastAsia="Museo"/>
          <w:b w:val="0"/>
          <w:i w:val="0"/>
          <w:color w:val="C63493"/>
          <w:sz w:val="20"/>
        </w:rPr>
        <w:t xml:space="preserve">The proportions of assets invested in equities continues to decline, albeit only a little compared to the decreases in prior years. The proportion of assets held </w:t>
      </w:r>
      <w:r>
        <w:rPr>
          <w:rFonts w:ascii="Museo" w:hAnsi="Museo" w:eastAsia="Museo"/>
          <w:b w:val="0"/>
          <w:i w:val="0"/>
          <w:color w:val="C63493"/>
          <w:sz w:val="20"/>
        </w:rPr>
        <w:t>in annuities is a record high at just under 13 per cent.</w:t>
      </w:r>
    </w:p>
    <w:p>
      <w:pPr>
        <w:sectPr>
          <w:type w:val="continuous"/>
          <w:pgSz w:w="29934" w:h="16838"/>
          <w:pgMar w:top="150" w:right="830" w:bottom="498" w:left="850" w:header="720" w:footer="720" w:gutter="0"/>
          <w:cols w:num="2" w:equalWidth="0">
            <w:col w:w="14120" w:space="0"/>
            <w:col w:w="1413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448"/>
        <w:ind w:left="308" w:right="432" w:firstLine="0"/>
        <w:jc w:val="left"/>
      </w:pPr>
      <w:r>
        <w:rPr>
          <w:rFonts w:ascii="Museo" w:hAnsi="Museo" w:eastAsia="Museo"/>
          <w:b w:val="0"/>
          <w:i w:val="0"/>
          <w:color w:val="C63493"/>
          <w:sz w:val="20"/>
        </w:rPr>
        <w:t xml:space="preserve">The simple average proportions of assets held in the headline categories equities, bonds, and other investments, are very similar to the weighted average </w:t>
      </w:r>
      <w:r>
        <w:rPr>
          <w:rFonts w:ascii="Museo" w:hAnsi="Museo" w:eastAsia="Museo"/>
          <w:b w:val="0"/>
          <w:i w:val="0"/>
          <w:color w:val="C63493"/>
          <w:sz w:val="20"/>
        </w:rPr>
        <w:t>proportions, suggesting small and large schemes invest similarly at this level of granularity.</w:t>
      </w:r>
    </w:p>
    <w:p>
      <w:pPr>
        <w:sectPr>
          <w:type w:val="nextColumn"/>
          <w:pgSz w:w="29934" w:h="16838"/>
          <w:pgMar w:top="150" w:right="830" w:bottom="498" w:left="850" w:header="720" w:footer="720" w:gutter="0"/>
          <w:cols w:num="2" w:equalWidth="0">
            <w:col w:w="14120" w:space="0"/>
            <w:col w:w="141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34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Equities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1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Bonds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4" w:after="0"/>
              <w:ind w:left="0" w:right="1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Other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Cash and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Asset class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Insurance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Hedge funds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1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Miscellaneous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4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Equities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Bonds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4" w:after="0"/>
              <w:ind w:left="0" w:right="1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Other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Cash and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7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Asset class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Insurance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Hedge funds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Miscellaneous</w:t>
            </w:r>
          </w:p>
        </w:tc>
      </w:tr>
      <w:tr>
        <w:trPr>
          <w:trHeight w:hRule="exact" w:val="280"/>
        </w:trPr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Breakdown of other investments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Breakdown of other investments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2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Diversified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Absolute 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Diversified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Absolute 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>Book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 dataset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investments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deposits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2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Annuities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3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growth funds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returns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policies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Book 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dataset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3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investments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deposits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Annuities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growth funds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returns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policies</w:t>
            </w:r>
          </w:p>
        </w:tc>
        <w:tc>
          <w:tcPr>
            <w:tcW w:type="dxa" w:w="1177"/>
            <w:vMerge/>
            <w:tcBorders/>
          </w:tcPr>
          <w:p/>
        </w:tc>
        <w:tc>
          <w:tcPr>
            <w:tcW w:type="dxa" w:w="117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1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61.1%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28.3%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2.3%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4.3%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0.9%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3.1%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52.6%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22.6%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24.8%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3.9%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2.1%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14.9%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3.6%</w:t>
            </w:r>
          </w:p>
        </w:tc>
      </w:tr>
      <w:tr>
        <w:trPr>
          <w:trHeight w:hRule="exact" w:val="2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41.1%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40.1%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18.8%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4.1%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4.4%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2.4%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6.3%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43.7%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32.6%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23.7%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4.9%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2.7%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11.8%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1.0%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3.3%</w:t>
            </w:r>
          </w:p>
        </w:tc>
      </w:tr>
      <w:tr>
        <w:trPr>
          <w:trHeight w:hRule="exact" w:val="2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30.3%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51.3%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18.4%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3.0%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4.8%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2.1%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6.6%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1.7%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36.8%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41.1%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22.1%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5.4%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3.7%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2.4%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1.2%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1.5%</w:t>
            </w:r>
          </w:p>
        </w:tc>
      </w:tr>
      <w:tr>
        <w:trPr>
          <w:trHeight w:hRule="exact" w:val="2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29.0%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55.7%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15.3%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-0.9%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5.3%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3.3%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6.7%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0.8%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34.5%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41.4%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24.1%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3.6%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3.7%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6.8%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0.7%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1.3%</w:t>
            </w:r>
          </w:p>
        </w:tc>
      </w:tr>
      <w:tr>
        <w:trPr>
          <w:trHeight w:hRule="exact" w:val="28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2018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27.0%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59.0%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14.0%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-2.5%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4.8%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3.4%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7.0%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1.2%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2018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32.4%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43.1%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24.5%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1.8%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3.3%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8.9%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8.5%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1.4%</w:t>
            </w:r>
          </w:p>
        </w:tc>
      </w:tr>
      <w:tr>
        <w:trPr>
          <w:trHeight w:hRule="exact" w:val="2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24.0%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62.8%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13.2%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-4.4%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5.0%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4.0%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0.3%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7.4%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1.0%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2019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30.4%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47.0%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22.7%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-0.8%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3.4%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9.4%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0.5%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8.9%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1.3%</w:t>
            </w:r>
          </w:p>
        </w:tc>
      </w:tr>
      <w:tr>
        <w:trPr>
          <w:trHeight w:hRule="exact" w:val="2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20.4%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69.2%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10.4%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4.9%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5.0%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6.8%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0.8%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8%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52.3%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19.9%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-3.2%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3.4%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9.7%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1.7%</w:t>
            </w:r>
          </w:p>
        </w:tc>
      </w:tr>
      <w:tr>
        <w:trPr>
          <w:trHeight w:hRule="exact" w:val="2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19.0%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72.0%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9.1%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-9.5%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4.7%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6.6%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6.1%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0.9%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25.8%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58.0%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16.3%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-6.6%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3.2%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10.6%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1.7%</w:t>
            </w:r>
          </w:p>
        </w:tc>
      </w:tr>
      <w:tr>
        <w:trPr>
          <w:trHeight w:hRule="exact" w:val="2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19.5%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71.6%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8.9%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-8.8%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4.6%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6.8%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5.2%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1.0%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58.5%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14.4%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3.0%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10.7%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6.0%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1.6%</w:t>
            </w:r>
          </w:p>
        </w:tc>
      </w:tr>
      <w:tr>
        <w:trPr>
          <w:trHeight w:hRule="exact" w:val="2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2023 restated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18.8%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66.5%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14.7%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-3.3%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5.3%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1.5%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3.0%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0.9%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1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23.1%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62.9%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14.0%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-10.8%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2.8%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11.5%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6.7%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1.7%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1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1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0" w:right="1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1.9%</w:t>
            </w:r>
          </w:p>
        </w:tc>
      </w:tr>
      <w:tr>
        <w:trPr>
          <w:trHeight w:hRule="exact" w:val="28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15.5%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69.8%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14.7%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-5.4%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5.9%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9.7%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1.0%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2.6%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0.9%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17.</w:t>
            </w: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8%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66.1%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16.1%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-8.9%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2.8%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13.8%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5.2%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1.3%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1.9%</w:t>
            </w:r>
          </w:p>
        </w:tc>
      </w:tr>
      <w:tr>
        <w:trPr>
          <w:trHeight w:hRule="exact" w:val="22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15.1%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70.6%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14.3%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-7.9%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5.0%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12.9%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0.7%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2.1%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1.5%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2025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14.9%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70.7%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14.4%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-10.7%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2.3%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16.4%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3.8%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1.1%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1.5%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4"/>
        <w:ind w:left="0" w:right="0"/>
      </w:pPr>
    </w:p>
    <w:p>
      <w:pPr>
        <w:sectPr>
          <w:type w:val="continuous"/>
          <w:pgSz w:w="29934" w:h="16838"/>
          <w:pgMar w:top="150" w:right="830" w:bottom="49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05364"/>
          <w:sz w:val="16"/>
        </w:rPr>
        <w:t>Note: figures may not sum to 100 per cent or the ‘Other investments’ total because of rounding.</w:t>
      </w:r>
    </w:p>
    <w:p>
      <w:pPr>
        <w:autoSpaceDN w:val="0"/>
        <w:autoSpaceDE w:val="0"/>
        <w:widowControl/>
        <w:spacing w:line="382" w:lineRule="exact" w:before="8" w:after="0"/>
        <w:ind w:left="170" w:right="432" w:firstLine="0"/>
        <w:jc w:val="left"/>
      </w:pPr>
      <w:r>
        <w:rPr>
          <w:rFonts w:ascii="Museo" w:hAnsi="Museo" w:eastAsia="Museo"/>
          <w:b w:val="0"/>
          <w:i w:val="0"/>
          <w:color w:val="405364"/>
          <w:sz w:val="20"/>
        </w:rPr>
        <w:t xml:space="preserve">The category ‘bonds’ represents those physically held as well as other investments whose economic characteristics resemble bonds, such as LDI. </w:t>
      </w:r>
      <w:r>
        <w:rPr>
          <w:rFonts w:ascii="Museo" w:hAnsi="Museo" w:eastAsia="Museo"/>
          <w:b w:val="0"/>
          <w:i w:val="0"/>
          <w:color w:val="405364"/>
          <w:sz w:val="20"/>
        </w:rPr>
        <w:t xml:space="preserve">From 2023 the categories ‘insurance policies’ and ‘hedge funds’ have been discontinued. There became two new categories: ‘diversified growth funds’ </w:t>
      </w:r>
    </w:p>
    <w:p>
      <w:pPr>
        <w:sectPr>
          <w:type w:val="continuous"/>
          <w:pgSz w:w="29934" w:h="16838"/>
          <w:pgMar w:top="150" w:right="830" w:bottom="498" w:left="850" w:header="720" w:footer="720" w:gutter="0"/>
          <w:cols w:num="2" w:equalWidth="0">
            <w:col w:w="13890" w:space="0"/>
            <w:col w:w="1436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538" w:right="0" w:firstLine="0"/>
        <w:jc w:val="left"/>
      </w:pPr>
      <w:r>
        <w:rPr>
          <w:rFonts w:ascii="Museo" w:hAnsi="Museo" w:eastAsia="Museo"/>
          <w:b w:val="0"/>
          <w:i w:val="0"/>
          <w:color w:val="405364"/>
          <w:sz w:val="16"/>
        </w:rPr>
        <w:t xml:space="preserve">Note: figures may not sum to 100 per cent or the ‘Other investments’ total because of rounding. </w:t>
      </w:r>
    </w:p>
    <w:p>
      <w:pPr>
        <w:autoSpaceDN w:val="0"/>
        <w:autoSpaceDE w:val="0"/>
        <w:widowControl/>
        <w:spacing w:line="382" w:lineRule="exact" w:before="8" w:after="16"/>
        <w:ind w:left="538" w:right="576" w:firstLine="0"/>
        <w:jc w:val="left"/>
      </w:pPr>
      <w:r>
        <w:rPr>
          <w:rFonts w:ascii="Museo" w:hAnsi="Museo" w:eastAsia="Museo"/>
          <w:b w:val="0"/>
          <w:i w:val="0"/>
          <w:color w:val="405364"/>
          <w:sz w:val="20"/>
        </w:rPr>
        <w:t xml:space="preserve">The category ‘bonds’ represents those physically held as well as other investments whose economic characteristics resemble bonds, such as LDI. </w:t>
      </w:r>
      <w:r>
        <w:rPr>
          <w:rFonts w:ascii="Museo" w:hAnsi="Museo" w:eastAsia="Museo"/>
          <w:b w:val="0"/>
          <w:i w:val="0"/>
          <w:color w:val="405364"/>
          <w:sz w:val="20"/>
        </w:rPr>
        <w:t xml:space="preserve">From 2023 the categories ‘insurance policies’ and ‘hedge funds’ have been discontinued. There are two new categories: ‘diversified growth funds’ and </w:t>
      </w:r>
    </w:p>
    <w:p>
      <w:pPr>
        <w:sectPr>
          <w:type w:val="nextColumn"/>
          <w:pgSz w:w="29934" w:h="16838"/>
          <w:pgMar w:top="150" w:right="830" w:bottom="498" w:left="850" w:header="720" w:footer="720" w:gutter="0"/>
          <w:cols w:num="2" w:equalWidth="0">
            <w:col w:w="13890" w:space="0"/>
            <w:col w:w="14364" w:space="0"/>
          </w:cols>
          <w:docGrid w:linePitch="360"/>
        </w:sectPr>
      </w:pPr>
    </w:p>
    <w:p>
      <w:pPr>
        <w:autoSpaceDN w:val="0"/>
        <w:tabs>
          <w:tab w:pos="14428" w:val="left"/>
        </w:tabs>
        <w:autoSpaceDE w:val="0"/>
        <w:widowControl/>
        <w:spacing w:line="224" w:lineRule="exact" w:before="0" w:after="158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05364"/>
          <w:sz w:val="20"/>
        </w:rPr>
        <w:t>and ‘absolute returns’.</w:t>
      </w:r>
      <w:r>
        <w:tab/>
      </w:r>
      <w:r>
        <w:rPr>
          <w:rFonts w:ascii="Museo" w:hAnsi="Museo" w:eastAsia="Museo"/>
          <w:b w:val="0"/>
          <w:i w:val="0"/>
          <w:color w:val="405364"/>
          <w:sz w:val="20"/>
        </w:rPr>
        <w:t>‘absolute returns’.</w:t>
      </w:r>
    </w:p>
    <w:p>
      <w:pPr>
        <w:sectPr>
          <w:type w:val="continuous"/>
          <w:pgSz w:w="29934" w:h="16838"/>
          <w:pgMar w:top="150" w:right="830" w:bottom="49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70" w:right="576" w:firstLine="0"/>
        <w:jc w:val="left"/>
      </w:pPr>
      <w:r>
        <w:rPr>
          <w:rFonts w:ascii="Museo" w:hAnsi="Museo" w:eastAsia="Museo"/>
          <w:b w:val="0"/>
          <w:i w:val="0"/>
          <w:color w:val="405364"/>
          <w:sz w:val="20"/>
        </w:rPr>
        <w:t xml:space="preserve">The weighted average proportion of assets held in cash and deposits is negative. Negative cash holdings are likely to relate to investments such as swaps </w:t>
      </w:r>
      <w:r>
        <w:rPr>
          <w:rFonts w:ascii="Museo" w:hAnsi="Museo" w:eastAsia="Museo"/>
          <w:b w:val="0"/>
          <w:i w:val="0"/>
          <w:color w:val="405364"/>
          <w:sz w:val="20"/>
        </w:rPr>
        <w:t>and repurchase agreements held as part of LDI strategies.</w:t>
      </w:r>
    </w:p>
    <w:p>
      <w:pPr>
        <w:autoSpaceDN w:val="0"/>
        <w:autoSpaceDE w:val="0"/>
        <w:widowControl/>
        <w:spacing w:line="224" w:lineRule="exact" w:before="158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05364"/>
          <w:sz w:val="20"/>
        </w:rPr>
        <w:t xml:space="preserve">‘–‘ indicates either that schemes may have been invested in these asset classes but the percentages could not be determined from the data held at the time, </w:t>
      </w:r>
    </w:p>
    <w:p>
      <w:pPr>
        <w:sectPr>
          <w:type w:val="continuous"/>
          <w:pgSz w:w="29934" w:h="16838"/>
          <w:pgMar w:top="150" w:right="830" w:bottom="498" w:left="850" w:header="720" w:footer="720" w:gutter="0"/>
          <w:cols w:num="2" w:equalWidth="0">
            <w:col w:w="14090" w:space="0"/>
            <w:col w:w="1416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338" w:right="576" w:firstLine="0"/>
        <w:jc w:val="left"/>
      </w:pPr>
      <w:r>
        <w:rPr>
          <w:rFonts w:ascii="Museo" w:hAnsi="Museo" w:eastAsia="Museo"/>
          <w:b w:val="0"/>
          <w:i w:val="0"/>
          <w:color w:val="405364"/>
          <w:sz w:val="20"/>
        </w:rPr>
        <w:t xml:space="preserve">The simple average proportion of assets held in cash and deposits being negative represents a large number of schemes with significant negative cash </w:t>
      </w:r>
      <w:r>
        <w:rPr>
          <w:rFonts w:ascii="Museo" w:hAnsi="Museo" w:eastAsia="Museo"/>
          <w:b w:val="0"/>
          <w:i w:val="0"/>
          <w:color w:val="405364"/>
          <w:sz w:val="20"/>
        </w:rPr>
        <w:t>holdings which are likely to be related to investments such as swaps and repurchase agreements.</w:t>
      </w:r>
    </w:p>
    <w:p>
      <w:pPr>
        <w:autoSpaceDN w:val="0"/>
        <w:autoSpaceDE w:val="0"/>
        <w:widowControl/>
        <w:spacing w:line="224" w:lineRule="exact" w:before="158" w:after="16"/>
        <w:ind w:left="338" w:right="0" w:firstLine="0"/>
        <w:jc w:val="left"/>
      </w:pPr>
      <w:r>
        <w:rPr>
          <w:rFonts w:ascii="Museo" w:hAnsi="Museo" w:eastAsia="Museo"/>
          <w:b w:val="0"/>
          <w:i w:val="0"/>
          <w:color w:val="405364"/>
          <w:sz w:val="20"/>
        </w:rPr>
        <w:t xml:space="preserve">‘–‘ indicates either that schemes may have been invested in these asset classes but the percentages could not be determined from the data held at the time, </w:t>
      </w:r>
    </w:p>
    <w:p>
      <w:pPr>
        <w:sectPr>
          <w:type w:val="nextColumn"/>
          <w:pgSz w:w="29934" w:h="16838"/>
          <w:pgMar w:top="150" w:right="830" w:bottom="498" w:left="850" w:header="720" w:footer="720" w:gutter="0"/>
          <w:cols w:num="2" w:equalWidth="0">
            <w:col w:w="14090" w:space="0"/>
            <w:col w:w="141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</w:tblGrid>
      <w:tr>
        <w:trPr>
          <w:trHeight w:hRule="exact" w:val="330"/>
        </w:trPr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or because the category is new or no longer exists.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6" w:after="0"/>
              <w:ind w:left="0" w:right="34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7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13%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10%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9%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9%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6" w:after="0"/>
              <w:ind w:left="0" w:right="4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6" w:after="0"/>
              <w:ind w:left="0" w:right="5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5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20"/>
              </w:rPr>
              <w:t>or because the category is new or no longer exists.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50" w:after="0"/>
              <w:ind w:left="0" w:right="3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5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36" w:after="0"/>
              <w:ind w:left="0" w:right="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312" w:after="0"/>
              <w:ind w:left="3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Year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6" w:after="0"/>
              <w:ind w:left="1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1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</w:tr>
      <w:tr>
        <w:trPr>
          <w:trHeight w:hRule="exact" w:val="300"/>
        </w:trPr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100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5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9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100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11%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4" w:after="0"/>
              <w:ind w:left="0" w:right="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4" w:after="0"/>
              <w:ind w:left="0" w:right="4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3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6" w:after="0"/>
              <w:ind w:left="0" w:right="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0" w:right="4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5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80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2" w:after="0"/>
              <w:ind w:left="0" w:right="3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56%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59%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3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63%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5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72%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5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72%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54" w:after="0"/>
              <w:ind w:left="0" w:right="4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67%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12" w:after="0"/>
              <w:ind w:left="1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70%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0" w:after="0"/>
              <w:ind w:left="0" w:right="5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71%</w:t>
            </w:r>
          </w:p>
        </w:tc>
        <w:tc>
          <w:tcPr>
            <w:tcW w:type="dxa" w:w="51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0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80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2" w:after="0"/>
              <w:ind w:left="0" w:right="3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9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43%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96" w:after="0"/>
              <w:ind w:left="0" w:right="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0" w:after="0"/>
              <w:ind w:left="16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52%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58%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9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59%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63%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66%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71%</w:t>
            </w:r>
          </w:p>
        </w:tc>
      </w:tr>
      <w:tr>
        <w:trPr>
          <w:trHeight w:hRule="exact" w:val="176"/>
        </w:trPr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4870"/>
            <w:gridSpan w:val="5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4870"/>
            <w:gridSpan w:val="5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94" w:after="0"/>
              <w:ind w:left="146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Percentage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0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60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0" w:after="0"/>
              <w:ind w:left="20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6" w:after="0"/>
              <w:ind w:left="0" w:right="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8" w:after="0"/>
              <w:ind w:left="0" w:right="4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662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8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Percentage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4" w:after="0"/>
              <w:ind w:left="17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60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8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40%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4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51%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974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40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8" w:after="0"/>
              <w:ind w:left="0" w:right="3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29%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27%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5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0" w:after="0"/>
              <w:ind w:left="0" w:right="4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4" w:after="0"/>
              <w:ind w:left="0" w:right="5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40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78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1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32%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6" w:after="0"/>
              <w:ind w:left="0" w:right="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0" w:after="0"/>
              <w:ind w:left="16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26%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9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27%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0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</w:tr>
      <w:tr>
        <w:trPr>
          <w:trHeight w:hRule="exact" w:val="66"/>
        </w:trPr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61%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4870"/>
            <w:gridSpan w:val="5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20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53%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0" w:right="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10" w:after="0"/>
              <w:ind w:left="0" w:right="4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37%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4870"/>
            <w:gridSpan w:val="5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3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1948"/>
            <w:gridSpan w:val="2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11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85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1948"/>
            <w:gridSpan w:val="2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464"/>
        </w:trPr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1948"/>
            <w:gridSpan w:val="2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2017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2018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2019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2022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32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2023 restated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1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2024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2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2025</w:t>
            </w:r>
          </w:p>
        </w:tc>
        <w:tc>
          <w:tcPr>
            <w:tcW w:type="dxa" w:w="5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10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0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20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2017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2018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2019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12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2021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2022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2023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2024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2025</w:t>
            </w:r>
          </w:p>
        </w:tc>
      </w:tr>
      <w:tr>
        <w:trPr>
          <w:trHeight w:hRule="exact" w:val="224"/>
        </w:trPr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2006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2016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2006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2011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4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2016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0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6" w:after="0"/>
              <w:ind w:left="0" w:right="1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Equities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Bonds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Other investments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24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05364"/>
                <w:sz w:val="16"/>
              </w:rPr>
              <w:t>Year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Equities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Bonds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6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Other investments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 xml:space="preserve">Note: figures may not sum to 100 per cent because of rounding. 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5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Note: figures may not sum to 100 per cent because of rounding.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Source: PPF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5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05364"/>
                <w:sz w:val="16"/>
              </w:rPr>
              <w:t>Source: PPF</w:t>
            </w:r>
          </w:p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  <w:tc>
          <w:tcPr>
            <w:tcW w:type="dxa" w:w="9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29934" w:h="16838"/>
      <w:pgMar w:top="150" w:right="830" w:bottom="498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