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1524000</wp:posOffset>
            </wp:positionV>
            <wp:extent cx="17945100" cy="7772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45100" cy="777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0</wp:posOffset>
            </wp:positionV>
            <wp:extent cx="17462500" cy="800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0" cy="800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</w:tblGrid>
      <w:tr>
        <w:trPr>
          <w:trHeight w:hRule="exact" w:val="24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14" w:after="0"/>
              <w:ind w:left="104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FFFFFF"/>
                <w:sz w:val="16"/>
              </w:rPr>
              <w:t>The Purple Book 2025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Introduction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2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Overview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8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01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67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02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103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03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21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04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434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05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17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06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31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FFFFFF"/>
                <w:sz w:val="20"/>
              </w:rPr>
              <w:t>07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5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08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32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09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94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12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11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19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12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Appendix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Glossary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0" w:after="0"/>
              <w:ind w:left="0" w:right="6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Charts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49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E368C"/>
                <w:sz w:val="32"/>
              </w:rPr>
              <w:t>23</w:t>
            </w:r>
          </w:p>
        </w:tc>
      </w:tr>
      <w:tr>
        <w:trPr>
          <w:trHeight w:hRule="exact" w:val="20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Claims 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PPF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Executive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The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Scheme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Scheme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3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Funding history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Insolvency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3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Asset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Risk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PPF levy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schemes in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compensation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PPF risk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summary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data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demographics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funding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3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and sensitivities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risk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allocation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reduction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2024/25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assessment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2024/25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developments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and tables</w:t>
            </w:r>
          </w:p>
        </w:tc>
        <w:tc>
          <w:tcPr>
            <w:tcW w:type="dxa" w:w="1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466" w:after="506"/>
        <w:ind w:left="0" w:right="0" w:firstLine="0"/>
        <w:jc w:val="left"/>
      </w:pPr>
      <w:r>
        <w:rPr>
          <w:rFonts w:ascii="Museo" w:hAnsi="Museo" w:eastAsia="Museo"/>
          <w:b/>
          <w:i w:val="0"/>
          <w:color w:val="C63493"/>
          <w:sz w:val="32"/>
        </w:rPr>
        <w:t>Asset allocation</w:t>
      </w:r>
      <w:r>
        <w:rPr>
          <w:rFonts w:ascii="Museo" w:hAnsi="Museo" w:eastAsia="Museo"/>
          <w:b w:val="0"/>
          <w:i w:val="0"/>
          <w:color w:val="C63493"/>
          <w:sz w:val="32"/>
        </w:rPr>
        <w:t xml:space="preserve"> continued</w:t>
      </w:r>
    </w:p>
    <w:p>
      <w:pPr>
        <w:sectPr>
          <w:pgSz w:w="29934" w:h="16838"/>
          <w:pgMar w:top="150" w:right="830" w:bottom="116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170" w:right="2592" w:firstLine="0"/>
        <w:jc w:val="left"/>
      </w:pPr>
      <w:r>
        <w:rPr>
          <w:rFonts w:ascii="Museo" w:hAnsi="Museo" w:eastAsia="Museo"/>
          <w:b/>
          <w:i w:val="0"/>
          <w:color w:val="FFFFFF"/>
          <w:sz w:val="20"/>
        </w:rPr>
        <w:t xml:space="preserve">Figure 7.5 | Bond splits – high-level breakdown </w:t>
      </w:r>
      <w:r>
        <w:br/>
      </w:r>
      <w:r>
        <w:rPr>
          <w:rFonts w:ascii="Museo" w:hAnsi="Museo" w:eastAsia="Museo"/>
          <w:b w:val="0"/>
          <w:i w:val="0"/>
          <w:color w:val="C63493"/>
          <w:sz w:val="20"/>
        </w:rPr>
        <w:t>The proportions of the high-level types of bonds have remained relatively stable compared to last year.</w:t>
      </w:r>
    </w:p>
    <w:p>
      <w:pPr>
        <w:sectPr>
          <w:type w:val="continuous"/>
          <w:pgSz w:w="29934" w:h="16838"/>
          <w:pgMar w:top="150" w:right="830" w:bottom="1168" w:left="850" w:header="720" w:footer="720" w:gutter="0"/>
          <w:cols w:num="2" w:equalWidth="0">
            <w:col w:w="11774" w:space="0"/>
            <w:col w:w="16480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186"/>
        <w:ind w:left="2654" w:right="576" w:firstLine="0"/>
        <w:jc w:val="left"/>
      </w:pPr>
      <w:r>
        <w:rPr>
          <w:rFonts w:ascii="Museo" w:hAnsi="Museo" w:eastAsia="Museo"/>
          <w:b/>
          <w:i w:val="0"/>
          <w:color w:val="FFFFFF"/>
          <w:sz w:val="20"/>
        </w:rPr>
        <w:t xml:space="preserve">Figure 7.6 | Bond splits – granular breakdown of </w:t>
      </w:r>
      <w:r>
        <w:rPr>
          <w:rFonts w:ascii="Museo" w:hAnsi="Museo" w:eastAsia="Museo"/>
          <w:b/>
          <w:i/>
          <w:color w:val="FFFFFF"/>
          <w:sz w:val="20"/>
        </w:rPr>
        <w:t>The Purple Book 2025</w:t>
      </w:r>
      <w:r>
        <w:rPr>
          <w:rFonts w:ascii="Museo" w:hAnsi="Museo" w:eastAsia="Museo"/>
          <w:b/>
          <w:i w:val="0"/>
          <w:color w:val="FFFFFF"/>
          <w:sz w:val="20"/>
        </w:rPr>
        <w:t xml:space="preserve"> dataset </w:t>
      </w:r>
      <w:r>
        <w:br/>
      </w:r>
      <w:r>
        <w:rPr>
          <w:rFonts w:ascii="Museo" w:hAnsi="Museo" w:eastAsia="Museo"/>
          <w:b w:val="0"/>
          <w:i w:val="0"/>
          <w:color w:val="C63493"/>
          <w:sz w:val="20"/>
        </w:rPr>
        <w:t xml:space="preserve">Government fixed interest and index-linked bonds are mostly long-dated. Investment grade corporate bond proportions are broadly balanced between </w:t>
      </w:r>
      <w:r>
        <w:rPr>
          <w:rFonts w:ascii="Museo" w:hAnsi="Museo" w:eastAsia="Museo"/>
          <w:b w:val="0"/>
          <w:i w:val="0"/>
          <w:color w:val="C63493"/>
          <w:sz w:val="20"/>
        </w:rPr>
        <w:t>territory and term.</w:t>
      </w:r>
    </w:p>
    <w:p>
      <w:pPr>
        <w:sectPr>
          <w:type w:val="nextColumn"/>
          <w:pgSz w:w="29934" w:h="16838"/>
          <w:pgMar w:top="150" w:right="830" w:bottom="1168" w:left="850" w:header="720" w:footer="720" w:gutter="0"/>
          <w:cols w:num="2" w:equalWidth="0">
            <w:col w:w="11774" w:space="0"/>
            <w:col w:w="164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234"/>
        </w:trPr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Book 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dataset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0" w:after="0"/>
              <w:ind w:left="23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Government 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70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Weighted average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Index-linked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0" w:after="0"/>
              <w:ind w:left="26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Government 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Simple average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0" w:after="0"/>
              <w:ind w:left="24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Index-linked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4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 category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4" w:after="0"/>
              <w:ind w:left="0" w:right="9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Tier 1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Short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2" w:after="0"/>
              <w:ind w:left="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Weighted average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2" w:after="0"/>
              <w:ind w:left="3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Short and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4" w:after="0"/>
              <w:ind w:left="0" w:right="2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Long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4" w:after="0"/>
              <w:ind w:left="25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Unassigned*</w:t>
            </w:r>
          </w:p>
        </w:tc>
      </w:tr>
      <w:tr>
        <w:trPr>
          <w:trHeight w:hRule="exact" w:val="246"/>
        </w:trPr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3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Corporate – 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55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Corporate 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public markets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Corporate – 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7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– public markets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Corporate – 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1662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only from 2023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private debt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3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only from 2023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private debt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Medium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medium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2008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33.2%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32.6%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33.9%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33.0%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19.8%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Government fixed-interest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20.8%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9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0.5%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0.2%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3.3%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16.8%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0.0%</w:t>
            </w:r>
          </w:p>
        </w:tc>
      </w:tr>
      <w:tr>
        <w:trPr>
          <w:trHeight w:hRule="exact" w:val="30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19.6%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44.3%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36.1%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31.2%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21.7%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Index-linked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44.4%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9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0.6%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5.5%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14.2%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24.1%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0.0%</w:t>
            </w:r>
          </w:p>
        </w:tc>
      </w:tr>
      <w:tr>
        <w:trPr>
          <w:trHeight w:hRule="exact" w:val="28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2016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21.9%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33.7%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44.4%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24.4%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49.0%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26.6%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Corporate fixed-interest, of which: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34.8%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2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</w:tr>
      <w:tr>
        <w:trPr>
          <w:trHeight w:hRule="exact" w:val="28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24.1%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31.4%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44.5%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25.9%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46.8%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66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Investment grade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0.4%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0.4%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</w:tr>
      <w:tr>
        <w:trPr>
          <w:trHeight w:hRule="exact" w:val="28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24.1%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28.8%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42.1%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30.8%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66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UK investment grade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12.2%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9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6.0%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6.2%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</w:tr>
      <w:tr>
        <w:trPr>
          <w:trHeight w:hRule="exact" w:val="56"/>
        </w:trPr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2019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25.4%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28.4%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46.2%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29.0%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38.9%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32.1%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66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Overseas investment grade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10.9%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9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6.8%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4.1%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</w:tr>
      <w:tr>
        <w:trPr>
          <w:trHeight w:hRule="exact" w:val="28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25.9%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28.0%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46.1%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29.4%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36.1%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34.6%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66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Sub-investment grade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4.3%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</w:tr>
      <w:tr>
        <w:trPr>
          <w:trHeight w:hRule="exact" w:val="28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24.6%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28.2%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30.4%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34.8%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34.8%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Private debt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7.0%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9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2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</w:tr>
      <w:tr>
        <w:trPr>
          <w:trHeight w:hRule="exact" w:val="52"/>
        </w:trPr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2022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22.0%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30.2%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8%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30.2%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35.7%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–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34.1%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" w:after="0"/>
              <w:ind w:left="43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Total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100%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" w:after="0"/>
              <w:ind w:left="0" w:right="92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1.5%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5.7%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" w:after="0"/>
              <w:ind w:left="0" w:right="37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</w:t>
            </w: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7.</w:t>
            </w: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5%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12.8%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" w:after="0"/>
              <w:ind w:left="0" w:right="21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51.2%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" w:after="0"/>
              <w:ind w:left="0" w:right="138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0.0%</w:t>
            </w:r>
          </w:p>
        </w:tc>
      </w:tr>
      <w:tr>
        <w:trPr>
          <w:trHeight w:hRule="exact" w:val="25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2023 restated*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19.1%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32.2%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5.4%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43.3%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25.6%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35.4%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1.5%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5%</w:t>
            </w:r>
          </w:p>
        </w:tc>
        <w:tc>
          <w:tcPr>
            <w:tcW w:type="dxa" w:w="77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37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* ‘Unassigned’ is generally where a scheme is in tiers 2 or 3 but did not provide the granular breakdown. 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2024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19.5%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27.7%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7.</w:t>
            </w: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3%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45.5%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27.6%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33.3%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2.0%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1%</w:t>
            </w:r>
          </w:p>
        </w:tc>
        <w:tc>
          <w:tcPr>
            <w:tcW w:type="dxa" w:w="4986"/>
            <w:gridSpan w:val="3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20.8%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8%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7.0%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44.4%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1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28.2%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31.9%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2626B"/>
                <w:sz w:val="20"/>
              </w:rPr>
              <w:t>2.0%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7.9%</w:t>
            </w:r>
          </w:p>
        </w:tc>
        <w:tc>
          <w:tcPr>
            <w:tcW w:type="dxa" w:w="7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8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50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48" w:after="4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05364"/>
          <w:sz w:val="16"/>
        </w:rPr>
        <w:t xml:space="preserve">* Weighted average only.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632"/>
        </w:trPr>
        <w:tc>
          <w:tcPr>
            <w:tcW w:type="dxa" w:w="6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Note: the rows may not sum to 100 per cent because of rounding.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4" w:after="0"/>
              <w:ind w:left="12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Weighted average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74" w:after="0"/>
              <w:ind w:left="0" w:right="6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47%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90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48%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8" w:after="0"/>
              <w:ind w:left="0" w:right="4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43%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38" w:after="0"/>
              <w:ind w:left="15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45%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14" w:after="0"/>
              <w:ind w:left="0" w:right="4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3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40</w:t>
            </w:r>
          </w:p>
        </w:tc>
        <w:tc>
          <w:tcPr>
            <w:tcW w:type="dxa" w:w="3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6" w:after="0"/>
              <w:ind w:left="0" w:right="10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6" w:after="0"/>
              <w:ind w:left="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Investment grade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0" w:after="0"/>
              <w:ind w:left="0" w:right="9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50" w:after="0"/>
              <w:ind w:left="0" w:right="6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</w:tr>
      <w:tr>
        <w:trPr>
          <w:trHeight w:hRule="exact" w:val="422"/>
        </w:trPr>
        <w:tc>
          <w:tcPr>
            <w:tcW w:type="dxa" w:w="6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100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2" w:after="0"/>
              <w:ind w:left="0" w:right="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46%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4" w:after="0"/>
              <w:ind w:left="0" w:right="4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46%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94" w:after="0"/>
              <w:ind w:left="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Percentage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30</w:t>
            </w:r>
          </w:p>
          <w:p>
            <w:pPr>
              <w:autoSpaceDN w:val="0"/>
              <w:autoSpaceDE w:val="0"/>
              <w:widowControl/>
              <w:spacing w:line="180" w:lineRule="exact" w:before="4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</w:t>
            </w:r>
          </w:p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2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80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2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34%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23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36%</w:t>
            </w:r>
          </w:p>
        </w:tc>
        <w:tc>
          <w:tcPr>
            <w:tcW w:type="dxa" w:w="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8" w:after="0"/>
              <w:ind w:left="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0" w:after="0"/>
              <w:ind w:left="0" w:right="1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47%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0" w:right="4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263B46"/>
                <w:sz w:val="16"/>
              </w:rPr>
              <w:t>5%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2" w:after="0"/>
              <w:ind w:left="0" w:right="5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263B46"/>
                <w:sz w:val="16"/>
              </w:rPr>
              <w:t>7%</w:t>
            </w:r>
          </w:p>
        </w:tc>
        <w:tc>
          <w:tcPr>
            <w:tcW w:type="dxa" w:w="1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18" w:after="0"/>
              <w:ind w:left="0" w:right="23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10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17%</w:t>
            </w:r>
          </w:p>
        </w:tc>
        <w:tc>
          <w:tcPr>
            <w:tcW w:type="dxa" w:w="2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294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Percentage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60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8" w:after="0"/>
              <w:ind w:left="2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33%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2" w:after="0"/>
              <w:ind w:left="22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4" w:after="0"/>
              <w:ind w:left="3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34%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8" w:after="0"/>
              <w:ind w:left="0" w:right="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31%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2" w:after="0"/>
              <w:ind w:left="0" w:right="19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29%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0" w:after="0"/>
              <w:ind w:left="0" w:right="3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263B46"/>
                <w:sz w:val="16"/>
              </w:rPr>
              <w:t>7%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046"/>
            <w:vMerge/>
            <w:tcBorders/>
          </w:tcPr>
          <w:p/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40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6" w:after="0"/>
              <w:ind w:left="0" w:right="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2" w:after="0"/>
              <w:ind w:left="0" w:right="42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6" w:after="0"/>
              <w:ind w:left="29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4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6" w:after="0"/>
              <w:ind w:left="0" w:right="4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263B46"/>
                <w:sz w:val="16"/>
              </w:rPr>
              <w:t>32%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6" w:after="0"/>
              <w:ind w:left="0" w:right="4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263B46"/>
                <w:sz w:val="16"/>
              </w:rPr>
              <w:t>28%</w:t>
            </w:r>
          </w:p>
        </w:tc>
        <w:tc>
          <w:tcPr>
            <w:tcW w:type="dxa" w:w="1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6" w:after="0"/>
              <w:ind w:left="0" w:right="23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0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8" w:after="0"/>
              <w:ind w:left="0" w:right="4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3%</w:t>
            </w:r>
          </w:p>
        </w:tc>
        <w:tc>
          <w:tcPr>
            <w:tcW w:type="dxa" w:w="2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173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8" w:after="0"/>
              <w:ind w:left="1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263B46"/>
                <w:sz w:val="16"/>
              </w:rPr>
              <w:t>28%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71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2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Fixed-interest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Index-linked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UK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Overseas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Sub-investment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3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Private debt</w:t>
            </w:r>
          </w:p>
        </w:tc>
      </w:tr>
      <w:tr>
        <w:trPr>
          <w:trHeight w:hRule="exact" w:val="204"/>
        </w:trPr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2" w:after="0"/>
              <w:ind w:left="2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33%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4" w:after="0"/>
              <w:ind w:left="22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50" w:after="0"/>
              <w:ind w:left="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1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16" w:after="0"/>
              <w:ind w:left="0" w:right="19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2" w:after="0"/>
              <w:ind w:left="0" w:right="4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26%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2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50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4" w:after="0"/>
              <w:ind w:left="0" w:right="4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2" w:after="0"/>
              <w:ind w:left="14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2" w:after="0"/>
              <w:ind w:left="0" w:right="5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21%</w:t>
            </w:r>
          </w:p>
        </w:tc>
        <w:tc>
          <w:tcPr>
            <w:tcW w:type="dxa" w:w="1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76" w:after="0"/>
              <w:ind w:left="0" w:right="2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Tier 1</w:t>
            </w:r>
          </w:p>
        </w:tc>
        <w:tc>
          <w:tcPr>
            <w:tcW w:type="dxa" w:w="3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2" w:after="0"/>
              <w:ind w:left="93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Government bonds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(tier 1 only)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investment grade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investment grade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8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grade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(tiers 2 &amp; 3)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(tiers 2 &amp; 3)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4" w:after="0"/>
              <w:ind w:left="254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Corporate bonds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92" w:after="0"/>
              <w:ind w:left="0" w:right="8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Long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65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0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9414"/>
            <w:gridSpan w:val="9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All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Short</w:t>
            </w:r>
          </w:p>
        </w:tc>
        <w:tc>
          <w:tcPr>
            <w:tcW w:type="dxa" w:w="9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Medium</w:t>
            </w:r>
          </w:p>
        </w:tc>
        <w:tc>
          <w:tcPr>
            <w:tcW w:type="dxa" w:w="15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Short and Medium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8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2008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2011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2016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2017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2018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2019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2020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6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2021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8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2022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2023 restated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2024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2025</w:t>
            </w:r>
          </w:p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24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6" w:after="0"/>
              <w:ind w:left="3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Government fixed-interest</w:t>
            </w:r>
          </w:p>
        </w:tc>
        <w:tc>
          <w:tcPr>
            <w:tcW w:type="dxa" w:w="17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6" w:after="0"/>
              <w:ind w:left="0" w:right="1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Corporate debt</w:t>
            </w:r>
          </w:p>
        </w:tc>
        <w:tc>
          <w:tcPr>
            <w:tcW w:type="dxa" w:w="229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6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Corporate – public markets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1258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Year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6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Index-linked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Source: PPF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3138"/>
            <w:gridSpan w:val="3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2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Corporate – private debt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6" w:lineRule="exact" w:before="0" w:after="0"/>
        <w:ind w:left="170" w:right="23616" w:firstLine="0"/>
        <w:jc w:val="left"/>
      </w:pPr>
      <w:r>
        <w:rPr>
          <w:rFonts w:ascii="Museo" w:hAnsi="Museo" w:eastAsia="Museo"/>
          <w:b w:val="0"/>
          <w:i w:val="0"/>
          <w:color w:val="405364"/>
          <w:sz w:val="16"/>
        </w:rPr>
        <w:t xml:space="preserve">Source: PPF </w:t>
      </w:r>
      <w:r>
        <w:br/>
      </w:r>
      <w:r>
        <w:rPr>
          <w:rFonts w:ascii="Museo" w:hAnsi="Museo" w:eastAsia="Museo"/>
          <w:b w:val="0"/>
          <w:i w:val="0"/>
          <w:color w:val="405364"/>
          <w:sz w:val="16"/>
        </w:rPr>
        <w:t>Note: figures may not sum to 100 per cent because of rounding.</w:t>
      </w:r>
    </w:p>
    <w:p>
      <w:pPr>
        <w:autoSpaceDN w:val="0"/>
        <w:autoSpaceDE w:val="0"/>
        <w:widowControl/>
        <w:spacing w:line="200" w:lineRule="exact" w:before="58" w:after="0"/>
        <w:ind w:left="170" w:right="14544" w:firstLine="0"/>
        <w:jc w:val="left"/>
      </w:pPr>
      <w:r>
        <w:rPr>
          <w:rFonts w:ascii="Museo" w:hAnsi="Museo" w:eastAsia="Museo"/>
          <w:b w:val="0"/>
          <w:i w:val="0"/>
          <w:color w:val="405364"/>
          <w:sz w:val="16"/>
        </w:rPr>
        <w:t xml:space="preserve">Starting with the 2023 scheme return, corporate debt includes a private debt subcategory. The two corporate debt categories in shades of blue in the bars for 2023 onwards should be compared </w:t>
      </w:r>
      <w:r>
        <w:br/>
      </w:r>
      <w:r>
        <w:rPr>
          <w:rFonts w:ascii="Museo" w:hAnsi="Museo" w:eastAsia="Museo"/>
          <w:b w:val="0"/>
          <w:i w:val="0"/>
          <w:color w:val="405364"/>
          <w:sz w:val="16"/>
        </w:rPr>
        <w:t>with the blue bars in the years prior to 2023.</w:t>
      </w:r>
    </w:p>
    <w:sectPr w:rsidR="00FC693F" w:rsidRPr="0006063C" w:rsidSect="00034616">
      <w:type w:val="continuous"/>
      <w:pgSz w:w="29934" w:h="16838"/>
      <w:pgMar w:top="150" w:right="830" w:bottom="1168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