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 / JGB(10-year)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第3週 2025/03 week3 ( 03/17 - 03/21 )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30,994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428,354,224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26.4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34,331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3,337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474,485,528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29.3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46,131,304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65,325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27.9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902,839,752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27.9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86,187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▲3,286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1,191,213,626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73.6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▲45,426,436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82,901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1,145,787,190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169,088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2,337,000,816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117,181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1,619,567,850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117,232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1,620,272,718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704,868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234,413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3,239,840,568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1,782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24,632,919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2,586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35,746,423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11,113,504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4,368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60,379,342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2.6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27,635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55,271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27,636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82,906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84,400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▲4,098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1,166,511,546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▲56,650,354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80,302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96.9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1,109,861,192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96.9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164,702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2,276,372,738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97.4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41,526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124,304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82,778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165,830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528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7,300,115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0.6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944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13,046,239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5,746,124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1,472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20,346,354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1,254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17,332,804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1.5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1,642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388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22,700,184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5,367,380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2,896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40,032,988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220,923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▲165,644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55,279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276,202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10,533,108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927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165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12,815,726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2,282,618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1,689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23,348,834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6,551,141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0.5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705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9,746,289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3,195,148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1,179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16,297,430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27,632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82,890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55,258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110,522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(長期国債先物（現金決済型ミニ） / mini-10-year JGB Futures（Cash-Settled))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第3週 2025/03 week3 ( 03/17 - 03/21 )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27,666,000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27,666,000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27,666,000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1.6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884,559,500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▲27,663,500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96.9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856,896,000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96.9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98.4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1,741,455,500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98.4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884,559,500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64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884,562,000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128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1,769,121,500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41,529,000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▲80,000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41,449,000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82,978,000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▲42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621,798,500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70.3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▲580,312,000</w:t>
            </w:r>
          </w:p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41,486,500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48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38.1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663,285,000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38.1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221,232,000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25.0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56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773,960,500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90.3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552,728,500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72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57.1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995,192,500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57.1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41,529,000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▲80,000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41,449,000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6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82,978,000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(超長期国債先物（ミニ） / mini-20-year JGB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第3週 2025/03 week3 ( 03/17 - 03/21 )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万円 ,％   units, 10,000yen,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3456" w:right="3456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26"/>
        </w:rPr>
        <w:t>投資部門別取引状況</w:t>
      </w:r>
      <w:r>
        <w:br/>
      </w:r>
      <w:r>
        <w:rPr>
          <w:rFonts w:ascii="CIDFont+F1" w:hAnsi="CIDFont+F1" w:eastAsia="CIDFont+F1"/>
          <w:b w:val="0"/>
          <w:i w:val="0"/>
          <w:color w:val="000000"/>
          <w:sz w:val="23"/>
        </w:rPr>
        <w:t>Trading by Type of Investors</w:t>
      </w:r>
    </w:p>
    <w:p>
      <w:pPr>
        <w:autoSpaceDN w:val="0"/>
        <w:autoSpaceDE w:val="0"/>
        <w:widowControl/>
        <w:spacing w:line="158" w:lineRule="exact" w:before="94" w:after="0"/>
        <w:ind w:left="0" w:right="0" w:firstLine="0"/>
        <w:jc w:val="center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(TONA3か月金利先物 / 3-Month TONA Futures)</w:t>
      </w:r>
    </w:p>
    <w:p>
      <w:pPr>
        <w:autoSpaceDN w:val="0"/>
        <w:autoSpaceDE w:val="0"/>
        <w:widowControl/>
        <w:spacing w:line="152" w:lineRule="exact" w:before="370" w:after="0"/>
        <w:ind w:left="8352" w:right="0" w:firstLine="0"/>
        <w:jc w:val="center"/>
      </w:pP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w w:val="102.861111504691"/>
          <w:rFonts w:ascii="CIDFont+F1" w:hAnsi="CIDFont+F1" w:eastAsia="CIDFont+F1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58" w:lineRule="exact" w:before="164" w:after="0"/>
        <w:ind w:left="44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6"/>
        </w:rPr>
        <w:t>2025年03月 第3週 2025/03 week3 ( 03/17 - 03/21 )</w:t>
      </w:r>
    </w:p>
    <w:p>
      <w:pPr>
        <w:autoSpaceDN w:val="0"/>
        <w:autoSpaceDE w:val="0"/>
        <w:widowControl/>
        <w:spacing w:line="130" w:lineRule="exact" w:before="172" w:after="0"/>
        <w:ind w:left="0" w:right="54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単位, 円 ,％   units, yen, ％</w:t>
      </w:r>
    </w:p>
    <w:p>
      <w:pPr>
        <w:autoSpaceDN w:val="0"/>
        <w:autoSpaceDE w:val="0"/>
        <w:widowControl/>
        <w:spacing w:line="128" w:lineRule="exact" w:before="46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Proprietary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414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▲6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10,273,810,625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▲137,253,125</w:t>
            </w:r>
          </w:p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408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10,136,557,500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4.2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8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8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822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20,410,368,125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8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4.3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8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委託取引計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Brokerage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9,196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228,237,803,750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9,287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95.8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230,490,903,750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95.8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2,253,100,000</w:t>
            </w:r>
          </w:p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6000000000001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18,483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458,728,707,500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95.7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自己委託合計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Total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136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9,610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238,511,614,375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136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136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9,695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85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240,627,461,250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2,115,846,875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600000000000136" w:val="single" w:color="#000000"/>
              <w:end w:sz="5.600000000000023" w:val="single" w:color="#000000"/>
              <w:bottom w:sz="11.200000000000045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19,305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479,139,075,625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28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0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法人計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4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8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個人計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Individuals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8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2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海外投資家計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Foreigners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9,196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228,237,803,750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9,287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91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230,490,903,750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4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2,253,100,000</w:t>
            </w:r>
          </w:p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18,483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458,728,707,500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100.0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証券会社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Securities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0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2.0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2.0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2.0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投資信託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Investment Trusts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事業法人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Business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400000000000091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091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091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091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5.599999999999909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その他法人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Other 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909" w:val="single" w:color="#000000"/>
              <w:end w:sz="5.600000000000023" w:val="single" w:color="#000000"/>
              <w:bottom w:sz="6.39999999999963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" w:after="0"/>
              <w:ind w:left="288" w:right="288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金融機関計</w:t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 xml:space="preserve">Financial </w:t>
            </w:r>
            <w:r>
              <w:br/>
            </w:r>
            <w:r>
              <w:rPr>
                <w:w w:val="96.00375493367514"/>
                <w:rFonts w:ascii="CIDFont+F1" w:hAnsi="CIDFont+F1" w:eastAsia="CIDFont+F1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399999999999636" w:val="single" w:color="#000000"/>
              <w:end w:sz="5.600000000000023" w:val="single" w:color="#000000"/>
              <w:bottom w:sz="11.199999999999818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909" w:val="single" w:color="#000000"/>
              <w:end w:sz="5.600000000000136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909" w:val="single" w:color="#000000"/>
              <w:end w:sz="6.400000000000091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909" w:val="single" w:color="#000000"/>
              <w:end w:sz="5.599999999999909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909" w:val="single" w:color="#000000"/>
              <w:end w:sz="11.20000000000072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0" w:lineRule="exact" w:before="164" w:after="30"/>
        <w:ind w:left="40" w:right="0" w:firstLine="0"/>
        <w:jc w:val="lef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15" w:type="dxa"/>
      </w:tblPr>
      <w:tblGrid>
        <w:gridCol w:w="1235"/>
        <w:gridCol w:w="1235"/>
        <w:gridCol w:w="1235"/>
        <w:gridCol w:w="1235"/>
        <w:gridCol w:w="1235"/>
        <w:gridCol w:w="1235"/>
        <w:gridCol w:w="1235"/>
        <w:gridCol w:w="1235"/>
      </w:tblGrid>
      <w:tr>
        <w:trPr>
          <w:trHeight w:hRule="exact" w:val="152"/>
        </w:trPr>
        <w:tc>
          <w:tcPr>
            <w:tcW w:type="dxa" w:w="2384"/>
            <w:gridSpan w:val="2"/>
            <w:vMerge w:val="restart"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218"/>
            <w:gridSpan w:val="3"/>
            <w:tcBorders>
              <w:start w:sz="5.600000000000136" w:val="single" w:color="#000000"/>
              <w:top w:sz="11.199999999999818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取引高 Trading Volume</w:t>
            </w:r>
          </w:p>
        </w:tc>
        <w:tc>
          <w:tcPr>
            <w:tcW w:type="dxa" w:w="4230"/>
            <w:gridSpan w:val="3"/>
            <w:tcBorders>
              <w:start w:sz="5.599999999999909" w:val="single" w:color="#000000"/>
              <w:top w:sz="11.199999999999818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取引代金 Trading Value</w:t>
            </w:r>
          </w:p>
        </w:tc>
      </w:tr>
      <w:tr>
        <w:trPr>
          <w:trHeight w:hRule="exact" w:val="152"/>
        </w:trPr>
        <w:tc>
          <w:tcPr>
            <w:tcW w:type="dxa" w:w="2470"/>
            <w:gridSpan w:val="2"/>
            <w:vMerge/>
            <w:tcBorders>
              <w:start w:sz="11.199999999999989" w:val="single" w:color="#000000"/>
              <w:top w:sz="11.199999999999818" w:val="single" w:color="#000000"/>
              <w:end w:sz="5.600000000000136" w:val="single" w:color="#000000"/>
              <w:bottom w:sz="5.599999999999454" w:val="single" w:color="#000000"/>
            </w:tcBorders>
          </w:tcPr>
          <w:p/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数量 Volume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金額 Value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比率 Ratio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差引き Balance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54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生保・損保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Insurance Cos.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5.60000000000036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都銀・地銀等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City BKs, Regional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BKs, etc.</w:t>
            </w:r>
          </w:p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600000000000364" w:val="single" w:color="#000000"/>
              <w:end w:sz="5.600000000000023" w:val="single" w:color="#000000"/>
              <w:bottom w:sz="6.400000000000546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2"/>
        </w:trPr>
        <w:tc>
          <w:tcPr>
            <w:tcW w:type="dxa" w:w="1246"/>
            <w:vMerge w:val="restart"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56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信託銀行</w:t>
            </w:r>
            <w:r>
              <w:br/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Trust Banks</w:t>
            </w:r>
          </w:p>
        </w:tc>
        <w:tc>
          <w:tcPr>
            <w:tcW w:type="dxa" w:w="1138"/>
            <w:tcBorders>
              <w:start w:sz="5.600000000000023" w:val="single" w:color="#000000"/>
              <w:top w:sz="6.40000000000054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6.400000000000546" w:val="single" w:color="#000000"/>
              <w:end w:sz="6.400000000000091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400000000000546" w:val="single" w:color="#000000"/>
              <w:end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400000000000546" w:val="single" w:color="#000000"/>
              <w:end w:sz="11.200000000000728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60000000000036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60000000000036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60000000000036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4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60000000000036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6.400000000000546" w:val="single" w:color="#000000"/>
              <w:end w:sz="5.600000000000023" w:val="single" w:color="#000000"/>
              <w:bottom w:sz="5.599999999999454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  <w:tr>
        <w:trPr>
          <w:trHeight w:hRule="exact" w:val="150"/>
        </w:trPr>
        <w:tc>
          <w:tcPr>
            <w:tcW w:type="dxa" w:w="1246"/>
            <w:vMerge w:val="restart"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0" w:after="0"/>
              <w:ind w:left="144" w:right="144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その他金融機関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 xml:space="preserve">Other Financial </w:t>
            </w: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Institutions</w:t>
            </w:r>
          </w:p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売り Sales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6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5.59999999999945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買い Purchases</w:t>
            </w:r>
          </w:p>
        </w:tc>
        <w:tc>
          <w:tcPr>
            <w:tcW w:type="dxa" w:w="1086"/>
            <w:tcBorders>
              <w:start w:sz="5.600000000000136" w:val="single" w:color="#000000"/>
              <w:top w:sz="5.599999999999454" w:val="single" w:color="#000000"/>
              <w:end w:sz="6.400000000000091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52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5.599999999999454" w:val="single" w:color="#000000"/>
              <w:end w:sz="5.599999999999909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0" w:lineRule="exact" w:before="8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5.599999999999454" w:val="single" w:color="#000000"/>
              <w:end w:sz="11.200000000000728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0"/>
        </w:trPr>
        <w:tc>
          <w:tcPr>
            <w:tcW w:type="dxa" w:w="1235"/>
            <w:vMerge/>
            <w:tcBorders>
              <w:start w:sz="11.199999999999989" w:val="single" w:color="#000000"/>
              <w:top w:sz="5.599999999999454" w:val="single" w:color="#000000"/>
              <w:end w:sz="5.600000000000023" w:val="single" w:color="#000000"/>
              <w:bottom w:sz="12.0" w:val="single" w:color="#000000"/>
            </w:tcBorders>
          </w:tcPr>
          <w:p/>
        </w:tc>
        <w:tc>
          <w:tcPr>
            <w:tcW w:type="dxa" w:w="1138"/>
            <w:tcBorders>
              <w:start w:sz="5.600000000000023" w:val="single" w:color="#000000"/>
              <w:top w:sz="6.399999999999636" w:val="single" w:color="#000000"/>
              <w:end w:sz="5.600000000000136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18" w:right="0" w:firstLine="0"/>
              <w:jc w:val="lef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合計 Total</w:t>
            </w:r>
          </w:p>
        </w:tc>
        <w:tc>
          <w:tcPr>
            <w:tcW w:type="dxa" w:w="1086"/>
            <w:tcBorders>
              <w:start w:sz="5.600000000000136" w:val="single" w:color="#000000"/>
              <w:top w:sz="6.399999999999636" w:val="single" w:color="#000000"/>
              <w:end w:sz="6.400000000000091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50"/>
            <w:tcBorders>
              <w:start w:sz="6.400000000000091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2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38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  <w:tc>
          <w:tcPr>
            <w:tcW w:type="dxa" w:w="1652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748"/>
            <w:tcBorders>
              <w:start w:sz="5.599999999999909" w:val="single" w:color="#000000"/>
              <w:top w:sz="6.399999999999636" w:val="single" w:color="#000000"/>
              <w:end w:sz="5.599999999999909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10" w:firstLine="0"/>
              <w:jc w:val="right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0.0</w:t>
            </w:r>
          </w:p>
        </w:tc>
        <w:tc>
          <w:tcPr>
            <w:tcW w:type="dxa" w:w="1830"/>
            <w:tcBorders>
              <w:start w:sz="5.599999999999909" w:val="single" w:color="#000000"/>
              <w:top w:sz="6.399999999999636" w:val="single" w:color="#000000"/>
              <w:end w:sz="11.20000000000072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0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 w:val="0"/>
                <w:i w:val="0"/>
                <w:color w:val="000000"/>
                <w:sz w:val="13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32" w:lineRule="exact" w:before="20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(注)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1.▲印は売越しを示す。</w:t>
      </w:r>
    </w:p>
    <w:p>
      <w:pPr>
        <w:autoSpaceDN w:val="0"/>
        <w:autoSpaceDE w:val="0"/>
        <w:widowControl/>
        <w:spacing w:line="132" w:lineRule="exact" w:before="0" w:after="0"/>
        <w:ind w:left="38" w:right="50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2.投資部門別及び総計欄の取引高及び取引代金の数値は、資本の額３０億円未満の証券会社の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132" w:lineRule="exact" w:before="132" w:after="0"/>
        <w:ind w:left="38" w:right="864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 xml:space="preserve">Notes: </w:t>
      </w:r>
      <w:r>
        <w:br/>
      </w: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1)▲indicates net selling.</w:t>
      </w:r>
    </w:p>
    <w:p>
      <w:pPr>
        <w:autoSpaceDN w:val="0"/>
        <w:autoSpaceDE w:val="0"/>
        <w:widowControl/>
        <w:spacing w:line="114" w:lineRule="exact" w:before="18" w:after="0"/>
        <w:ind w:left="38" w:right="0" w:firstLine="0"/>
        <w:jc w:val="left"/>
      </w:pPr>
      <w:r>
        <w:rPr>
          <w:w w:val="96.00375493367514"/>
          <w:rFonts w:ascii="CIDFont+F1" w:hAnsi="CIDFont+F1" w:eastAsia="CIDFont+F1"/>
          <w:b w:val="0"/>
          <w:i w:val="0"/>
          <w:color w:val="000000"/>
          <w:sz w:val="12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30" w:lineRule="exact" w:before="876" w:after="0"/>
        <w:ind w:left="0" w:right="60" w:firstLine="0"/>
        <w:jc w:val="right"/>
      </w:pPr>
      <w:r>
        <w:rPr>
          <w:rFonts w:ascii="CIDFont+F1" w:hAnsi="CIDFont+F1" w:eastAsia="CIDFont+F1"/>
          <w:b w:val="0"/>
          <w:i w:val="0"/>
          <w:color w:val="000000"/>
          <w:sz w:val="13"/>
        </w:rPr>
        <w:t>Copyright © Japan Exchange Group, Inc. All rights reserved.</w:t>
      </w:r>
    </w:p>
    <w:sectPr w:rsidR="00FC693F" w:rsidRPr="0006063C" w:rsidSect="00034616">
      <w:pgSz w:w="11906" w:h="16838"/>
      <w:pgMar w:top="548" w:right="1022" w:bottom="960" w:left="10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