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(日経２２５先物 / Nikkei 225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千円 ,％   units, 1,000yen,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25,971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▲3,613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593,263,759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▲82,579,608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22,358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510,684,151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48,329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1,103,947,910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206,515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4,709,975,506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209,268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2,753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4,772,905,423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90.3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62,929,917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415,783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9,482,880,929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232,486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▲860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5,303,239,265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▲19,649,690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231,626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5,283,589,575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464,112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10,586,828,840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12,543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▲1,417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286,159,470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▲32,136,472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11,126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254,022,998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23,669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540,182,468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32,182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▲3,219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734,160,979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▲73,380,401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28,963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660,780,578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61,145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1,394,941,557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160,104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3,651,208,086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167,597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7,493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3,822,020,427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170,812,341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327,701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78.8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7,473,228,513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78.8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1,686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▲104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38,446,970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▲2,365,550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1,582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36,081,420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3,268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74,528,390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5,045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▲1,034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115,137,801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▲23,457,629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4,011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91,680,172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9,056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206,817,973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1,509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▲318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34,332,056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▲7,286,257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1,191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27,045,799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61,377,855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▲17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13,500,700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▲386,181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13,114,519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1,167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26,615,219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5,397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123,188,913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▲1,006,405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5,349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122,182,508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10,746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245,371,421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153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3,497,310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3,497,310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3,497,310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1,617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36,963,488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3,453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1,836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78,913,830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41,950,342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5,070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115,877,318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3,615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▲2,012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82,460,625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▲45,880,557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1,603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36,580,068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5,218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119,040,693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▲25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3,764,800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▲573,500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3,191,300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6,956,100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(日経２２５ｍｉｎｉ / Nikkei 225 mini)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139,446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▲16,775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318,386,024,930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▲38,374,047,200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122,671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280,011,977,730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262,117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598,398,002,660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3,243,996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7,400,793,611,200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3,262,542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18,546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7,443,210,491,400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42,416,880,200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6,506,538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14,844,004,102,600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3,383,442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7,719,179,636,130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3,385,213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1,771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7,723,222,469,130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4,042,833,000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6,768,655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15,442,402,105,260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22,153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50,519,347,600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23,580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1,427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53,772,322,200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3,252,974,600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45,733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104,291,669,800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741,586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▲16,886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1,691,824,306,700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▲38,354,289,800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724,700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1,653,470,016,900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1,466,286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3,345,294,323,600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2,332,602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5,321,896,348,900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2,367,341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34,739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5,401,058,495,300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79,162,146,400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4,699,943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10,722,954,844,200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147,655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▲734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336,553,608,000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▲1,643,951,000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146,921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334,909,657,000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294,576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671,463,265,000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29,688,300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587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1,369,470,000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1,339,781,700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1,399,158,300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18,163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41,414,739,900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19,163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1,000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43,699,168,500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2,284,428,600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37,326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85,113,908,400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▲210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5,913,514,800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▲483,320,600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2,380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5,430,194,200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4,970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11,343,709,000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1,387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3,161,404,600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1,437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3,273,489,500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112,084,900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2,824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6,434,894,100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2,848,922,000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▲2,111,500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2,846,810,500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5,695,732,500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285,135,500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399,243,500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114,108,000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684,379,000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27,347,100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27,435,500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88,400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54,782,600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(ＴＯＰＩＸ先物 / TOPIX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百円 ,％   units, 100yen,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41,020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▲6,371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7,460,908,642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▲1,158,780,336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34,649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6,302,128,306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75,669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13,763,036,948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217,274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39,474,805,367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224,022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86.6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6,748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40,702,211,803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86.6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1,227,406,436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441,296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85.4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80,177,017,170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85.3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258,294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46,935,714,009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258,671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377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47,004,340,109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68,626,100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516,965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93,940,054,118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9,565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1,738,332,701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23,044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13,479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4,187,399,263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2,449,066,562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32,609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5,925,731,964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3,142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570,333,550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▲15,112,650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3,057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555,220,900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6,199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1,125,554,450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203,734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▲6,499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37,014,772,566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▲1,179,889,926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197,235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35,834,882,640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400,969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90.9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72,849,655,206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90.9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▲147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151,366,550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▲26,657,550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686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124,709,000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1,519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276,075,550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3,226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▲1,094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586,379,960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▲199,289,193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2,132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387,090,767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5,358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973,470,727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5,999,650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▲3,097,150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2,902,500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8,902,150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4,540,300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8,921,450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4,381,150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13,461,750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6,281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1,141,412,790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20,847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14,566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3,788,484,546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2,647,071,756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27,128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4,929,897,336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55,011,260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107,137,133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52,125,873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162,148,393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2,009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364,720,500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14,765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12,756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2,683,923,532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2,319,203,032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16,774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3,048,644,032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3,909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710,754,780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5,457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1,548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991,055,881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280,301,101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9,366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1,701,810,661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▲25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10,926,250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▲4,558,250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6,368,000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17,294,250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(ミニＴＯＰＩＸ先物 / mini-TOPIX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1,046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1,903,264,300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4,395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3,349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7,994,002,250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6,090,737,950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5,441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9,897,266,550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68,235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98.5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▲3,203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123,955,073,500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98.5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▲5,825,503,200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65,032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118,129,570,300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133,267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242,084,643,800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69,281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125,858,337,800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69,427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146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126,123,572,550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265,234,750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138,708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251,981,910,350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▲158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866,212,250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▲286,838,950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579,373,300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796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1,445,585,550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6,409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▲321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11,640,280,000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▲582,316,000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6,088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11,057,964,000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12,497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22,698,244,000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60,130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▲2,801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109,230,958,000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▲5,095,852,750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57,329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104,135,105,250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117,459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213,366,063,250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1,219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2,217,623,250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1,296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2,357,127,750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139,504,500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2,515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4,574,751,000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192,469,000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▲87,004,250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105,464,750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297,933,750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310,756,750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▲31,178,250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279,578,500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590,335,250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7,281,000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▲7,281,000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7,281,000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355,705,500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▲161,375,450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194,330,050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550,035,550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355,705,500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▲161,375,450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194,330,050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550,035,550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(ＪＰＸ日経４００先物 / JPX-Nikkei 400)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8,765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14,089,436,652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11,293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2,528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18,179,440,571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4,090,003,919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20,058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32,268,877,223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99,131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91.9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▲2,519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159,461,203,745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91.9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▲4,075,646,919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96,612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155,385,556,826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195,743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90.7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314,846,760,571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90.7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107,896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173,550,640,397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107,905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173,564,997,397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14,357,000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215,801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347,115,637,794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1,301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▲6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2,091,464,832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▲7,622,504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1,295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2,083,842,328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2,596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4,175,307,160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3,363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▲235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5,406,276,000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▲377,191,500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3,128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5,029,084,500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6,491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10,435,360,500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94,315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▲2,261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151,718,938,913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▲3,663,486,415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92,054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148,055,452,498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186,369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299,774,391,411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▲17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244,524,000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▲27,346,500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217,177,500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461,701,500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1,244,473,500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1,003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1,613,354,328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368,880,828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1,778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2,857,827,828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12,870,500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▲12,870,500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12,870,500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▲226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834,120,832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▲363,632,832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470,488,000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810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1,304,608,832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▲226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834,120,832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▲363,632,832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470,488,000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810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1,304,608,832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(マザーズ指数先物 / MOTHERS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1,362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1,594,312,950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2,081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2,442,287,780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847,974,830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3,443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33.5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4,036,600,730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33.6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3,772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▲719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4,419,665,780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▲847,974,830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3,053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3,571,690,950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6,825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66.5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7,991,356,730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66.4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5,134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6,013,978,730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5,134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6,013,978,730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10,268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12,027,957,460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55,156,780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▲8,420,830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46,735,950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101,892,730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2,135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▲235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2,500,623,000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▲276,803,000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1,900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62.2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2,223,820,000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62.3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4,035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4,724,443,000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1,514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▲475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1,774,922,000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▲560,226,000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1,039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1,214,696,000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2,553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2,989,618,000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88,964,000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▲2,525,000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86,439,000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175,403,000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1,176,000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▲1,176,000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1,176,000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49,176,000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▲8,425,000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40,751,000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89,927,000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4,804,780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5,984,950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1,180,170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10,789,730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4,804,780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5,984,950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1,180,170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10,789,730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(ＮＹダウ先物 / OSE DJIA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2,376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5,883,327,100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2,376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5,883,327,100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4,752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11,766,654,200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2,376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5,883,327,100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2,376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5,883,327,100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4,752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11,766,654,200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66,736,800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▲49,447,400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17,289,400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84,026,200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2,075,276,500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1,020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42.9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182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2,526,023,600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42.9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450,747,100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1,858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4,601,300,100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1,465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▲220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3,627,509,600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▲544,884,000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1,245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3,082,625,600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2,710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6,710,135,200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113,804,200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257,388,500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143,584,300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371,192,700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17,296,800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▲7,400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17,289,400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34,586,200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49,440,000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▲49,440,000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49,440,000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(インドNifty50先物 / India Nifty50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94,484,200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94,484,200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188,968,400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94,484,200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94,484,200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188,968,400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94,484,200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94,484,200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188,968,400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r>
        <w:br w:type="page"/>
      </w:r>
    </w:p>
    <w:p>
      <w:r>
        <w:br w:type="page"/>
      </w:r>
    </w:p>
    <w:sectPr w:rsidR="00FC693F" w:rsidRPr="0006063C" w:rsidSect="00034616">
      <w:pgSz w:w="11906" w:h="16838"/>
      <w:pgMar w:top="542" w:right="1352" w:bottom="1286" w:left="1002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(台湾加権指数先物 / TAIEX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(FTSE中国50先物 / FTSE China 50 Index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(日経平均ＶＩ先物 / Nikkei 225 VI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▲52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20,668,500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▲7,150,000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13,518,500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34,187,000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18,374,000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67.8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26,225,000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66.0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7,851,000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44,599,000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39,042,500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39,743,500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701,000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78,786,000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44.9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8,337,500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11,335,000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2,997,500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19,672,500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44.1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897,500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1,610,000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712,500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2,507,500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9,139,000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13,280,000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4,141,000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22,419,000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(長期国債先物 / JGB(10-year)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万円 ,％   units, 10,000yen,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61,989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934,749,441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77,120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15,131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1,162,889,159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228,139,718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139,109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2,097,638,600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98,438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▲14,951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1,484,445,966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▲225,425,165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83,487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1,259,020,801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181,925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2,743,466,767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160,427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2,419,195,407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160,607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2,421,909,960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2,714,553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321,034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4,841,105,367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3,090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46,602,090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5,621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2,531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84,752,397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38,150,307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8,711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131,354,487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45,224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75,401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30,177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120,625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95,340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▲17,479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1,437,723,297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▲263,530,294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77,861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1,174,193,003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173,201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2,611,916,300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75,355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▲75,355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75,355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8,945,548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1,314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19,813,796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1.6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10,868,248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1,907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28,759,344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2,497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37,656,542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1,810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64,938,601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27,282,059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6,804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102,595,143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3,077,388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5,202,196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2,124,808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8,279,584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3,438,762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262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7,386,491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3,947,729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10,825,253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1,841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27,762,681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3,210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1,369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48,397,990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20,635,309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5,051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76,160,671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3,377,711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3,951,924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574,213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7,329,635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(超長期国債先物 / SL-JGB(20-year)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万円 ,％   units, 10,000yen,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(日経２２５オプションプット / Nikkei 225 Options - Put)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千円 ,％   units, 1,000yen,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31,301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▲1,600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8,497,638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▲1,001,018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29,701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7,496,620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61,002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15,994,258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254,383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47,746,760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256,716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2,333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48,816,310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86.7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1,069,550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511,099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96,563,070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85.8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285,684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56,244,398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286,417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56,312,930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68,532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572,101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112,557,328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18,312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1,331,072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28,281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9,969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3,373,971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2,042,899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46,593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4,705,043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24,450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1,156,268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▲173,228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25,438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988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983,040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49,888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2,139,308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209,771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82.5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▲9,258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45,239,429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▲807,483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200,513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78.1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44,431,946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91.0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410,284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89,671,375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1,850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19,991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2,484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634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27,351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7,360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4,334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47,342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▲132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870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1,663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▲541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51,277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▲14,082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1,122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37,195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2,785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88,472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636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▲260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25,219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▲6,024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19,195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1,012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44,414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15,863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1,254,276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26,765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10,902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3,317,011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2,062,735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42,628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4,571,287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14,721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1,173,316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17,049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2,328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2,660,273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1,486,957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31,770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3,833,589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1,108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76,706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9,677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8,569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652,619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575,913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10,785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729,325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4,254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▲135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4,119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8,373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(日経２２５オプションコール / Nikkei 225 Options - Call)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千円 ,％   units, 1,000yen,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32,515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▲837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6,506,064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▲203,338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31,678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6,302,726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64,193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12,808,790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163,950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36,580,099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164,557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607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36,786,281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85.4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206,182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328,507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83.7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73,366,380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85.1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196,465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▲230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43,086,163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196,235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43,089,008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2,845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392,700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86,175,171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7,330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▲3,109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1,422,640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3.9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▲921,638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4,221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501,002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11,551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1,923,642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24,036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1,270,079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▲7,627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24,106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1,262,452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48,142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2,532,531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131,466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33,877,153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92.6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134,994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82.0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3,528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35,012,499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1,135,346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266,460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81.1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68,889,652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1,118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10,225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1,236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10,328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103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2,354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20,553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1,471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2,829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755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5,771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1,360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58,397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▲3,482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1,311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54,915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2,671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113,312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▲63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18,792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▲10,420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8,372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27,164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5,513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▲3,222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1,343,980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▲910,565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2,291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433,415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7,804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1,777,395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3,580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▲1,380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843,120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▲426,675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2,200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416,445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5,780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1,259,565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1,827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▲1,775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480,544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▲468,494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12,050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1,879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492,594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▲67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20,316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▲15,396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4,920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25,236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(ＴＯＰＩＸオプションプット / TOPIX Options - Put)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百円 ,％   units, 100yen,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▲120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1,300,500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▲1,300,500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1,300,500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2,642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9,738,250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88.2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2,762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11,038,750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1,300,500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5,404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97.8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20,777,000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2,762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11,038,750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2,762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11,038,750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5,524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22,077,500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2,642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9,738,250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2,762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11,038,750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1,300,500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5,404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20,777,000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sectPr w:rsidR="00FC693F" w:rsidRPr="0006063C" w:rsidSect="00034616">
      <w:pgSz w:w="11906" w:h="16838"/>
      <w:pgMar w:top="542" w:right="1352" w:bottom="1286" w:left="1002" w:header="720" w:footer="720" w:gutter="0"/>
      <w:cols/>
      <w:docGrid w:linePitch="360"/>
    </w:sectPr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(ＴＯＰＩＸオプションコール / TOPIX Options - Call)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百円 ,％   units, 100yen,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8,611,000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8,611,000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4,305,500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8,611,000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(JPX日経400オプションプット / JPX-Nikkei 400 Options - Put)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(JPX日経400オプションコール / JPX-Nikkei 400 Options - Call)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(国債先物オプションプット / Options on JGB(10-year) Futures - Put)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万円 ,％   units, 10,000yen,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7,715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▲576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56,923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44.3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▲1,784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7,139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55,139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42.7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14,854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112,062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7,955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71,628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55.7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8,556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73,984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2,356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16,511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145,612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15,670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128,551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15,695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129,123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572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31,365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257,674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▲224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2,031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▲1,435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2,627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7,650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96.2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69,597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97.2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8,474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824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73,387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3,790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16,124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97.7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142,984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98.2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▲223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1,981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▲1,454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373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2,508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▲53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▲518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518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▲218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1,459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▲1,432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1,486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496</w:t>
            </w:r>
          </w:p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504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(国債先物オプションコール / Options on JGB(10-year) Futures - Call)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万円 ,％   units, 10,000yen,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3,269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▲283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29,782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49.9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▲15,623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2,986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14,159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23.6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6,255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43,941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2,781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29,927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50.1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3,167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51.5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386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45,757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76.4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15,830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5,948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48.7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75,684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63.3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6,050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59,709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6,153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103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59,916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207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12,203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119,625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▲219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4,198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▲3,981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217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4,415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2,540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91.3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25,729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86.0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3,145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99.3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605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45,540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19,811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5,685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71,269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94.2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▲219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4,198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▲3,981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0.7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217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263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4.4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4,415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0.6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0.4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241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8.7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▲239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4,198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6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▲4,181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17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243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4,215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5.6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(有価証券オプションプット / Securities Options - Put)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1,840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60,665,100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3,550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65.9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1,710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66,377,500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5,712,400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127,042,600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3,550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65.9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▲1,710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66,377,500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52.2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▲5,712,400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1,840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34.1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60,665,100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47.8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127,042,600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5,390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127,042,600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5,390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127,042,600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10,780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254,085,200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▲350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30,098,500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800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32,456,000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53.5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2,357,500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1,950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62,554,500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49.2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2,400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67.6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▲1,360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36,279,000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54.7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▲8,069,900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1,040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56.5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28,209,100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46.5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3,440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63.8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64,488,100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50.8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1,150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32.4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▲350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30,098,500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45.3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800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43.5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32,456,000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53.5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2,357,500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1,950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36.2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62,554,500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49.2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(有価証券オプションコール / Securities Options - Call)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円 ,％   units, 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20,756,400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▲14,802,800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1,058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72.1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648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5,953,600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22.3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1,468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26,710,000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1,058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72.1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▲648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5,953,600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22.3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27.9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20,756,400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77.7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14,802,800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1,468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26,710,000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1,468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26,710,000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1,468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26,710,000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2,936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53,420,000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▲100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▲267,000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6.8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958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90.5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▲548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5,686,600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95.5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410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20,756,400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15,069,800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4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1,368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93.2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26,443,000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99.0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9.5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▲100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4.5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18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▲267,000</w:t>
            </w:r>
          </w:p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100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6.8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267,000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1.0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p>
      <w:pPr>
        <w:sectPr>
          <w:pgSz w:w="11906" w:h="16838"/>
          <w:pgMar w:top="542" w:right="1352" w:bottom="1286" w:left="100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45" w:lineRule="auto" w:before="20" w:after="0"/>
        <w:ind w:left="3312" w:right="3312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24"/>
        </w:rPr>
        <w:t>投資部門別取引状況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22"/>
        </w:rPr>
        <w:t>Trading by Type of Investors</w:t>
      </w:r>
    </w:p>
    <w:p>
      <w:pPr>
        <w:autoSpaceDN w:val="0"/>
        <w:autoSpaceDE w:val="0"/>
        <w:widowControl/>
        <w:spacing w:line="185" w:lineRule="auto" w:before="94" w:after="0"/>
        <w:ind w:left="0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(RNP先物 / RNP Futures)</w:t>
      </w:r>
    </w:p>
    <w:p>
      <w:pPr>
        <w:autoSpaceDN w:val="0"/>
        <w:autoSpaceDE w:val="0"/>
        <w:widowControl/>
        <w:spacing w:line="245" w:lineRule="auto" w:before="364" w:after="0"/>
        <w:ind w:left="8064" w:right="0" w:firstLine="0"/>
        <w:jc w:val="center"/>
      </w:pPr>
      <w:r>
        <w:rPr>
          <w:rFonts w:ascii="MS PGothic" w:hAnsi="MS PGothic" w:eastAsia="MS PGothic"/>
          <w:b w:val="0"/>
          <w:i w:val="0"/>
          <w:color w:val="000000"/>
          <w:sz w:val="14"/>
        </w:rPr>
        <w:t>株式会社 大阪取引所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4"/>
        </w:rPr>
        <w:t>Osaka Exchange, Inc.</w:t>
      </w:r>
    </w:p>
    <w:p>
      <w:pPr>
        <w:autoSpaceDN w:val="0"/>
        <w:autoSpaceDE w:val="0"/>
        <w:widowControl/>
        <w:spacing w:line="185" w:lineRule="auto" w:before="152" w:after="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5"/>
        </w:rPr>
        <w:t>2017年12月 第3週 2017/12 week3 ( 12/18 - 12/22 )</w:t>
      </w:r>
    </w:p>
    <w:p>
      <w:pPr>
        <w:autoSpaceDN w:val="0"/>
        <w:autoSpaceDE w:val="0"/>
        <w:widowControl/>
        <w:spacing w:line="185" w:lineRule="auto" w:before="168" w:after="0"/>
        <w:ind w:left="0" w:right="60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単位, 千円 ,％   units, 1,000yen, ％</w:t>
      </w:r>
    </w:p>
    <w:p>
      <w:pPr>
        <w:autoSpaceDN w:val="0"/>
        <w:autoSpaceDE w:val="0"/>
        <w:widowControl/>
        <w:spacing w:line="185" w:lineRule="auto" w:before="48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総計・自己合計・委託合計 Total, Proprietary ＆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0455" w:val="single" w:color="#000000"/>
              <w:end w:sz="3.2000000000000455" w:val="single" w:color="#000000"/>
              <w:bottom w:sz="3.2000000000000455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Proprietary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委託取引計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Brokerage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0455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自己委託合計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Total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3.2000000000000455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0455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0455" w:val="single" w:color="#000000"/>
              <w:end w:sz="3.2000000000000455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0455" w:val="single" w:color="#000000"/>
              <w:end w:sz="3.19999999999981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0455" w:val="single" w:color="#000000"/>
              <w:end w:sz="3.200000000000273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0455" w:val="single" w:color="#000000"/>
              <w:end w:sz="7.200000000000728" w:val="single" w:color="#000000"/>
              <w:bottom w:sz="7.2000000000000455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委託内訳 Breakdown of Brokerage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法人計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288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個人計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Individuals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海外投資家計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Foreigners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証券会社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Securities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68" w:after="30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法人内訳 Breakdown of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2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199999999999818" w:val="single" w:color="#000000"/>
              <w:end w:sz="3.2000000000000455" w:val="single" w:color="#000000"/>
              <w:bottom w:sz="3.200000000000273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投資信託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Investment Trusts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事業法人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Business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0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その他法人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Other 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200000000000273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24" w:after="0"/>
              <w:ind w:left="144" w:right="288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金融機関計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 xml:space="preserve">Financial 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1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200000000000273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273" w:val="single" w:color="#000000"/>
              <w:end w:sz="3.19999999999981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273" w:val="single" w:color="#000000"/>
              <w:end w:sz="3.200000000000273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273" w:val="single" w:color="#000000"/>
              <w:end w:sz="7.200000000000728" w:val="single" w:color="#000000"/>
              <w:bottom w:sz="7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85" w:lineRule="auto" w:before="170" w:after="26"/>
        <w:ind w:left="34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金融機関内訳 Breakdown of Financial Institutions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.999999999999972" w:type="dxa"/>
      </w:tblPr>
      <w:tblGrid>
        <w:gridCol w:w="1194"/>
        <w:gridCol w:w="1194"/>
        <w:gridCol w:w="1194"/>
        <w:gridCol w:w="1194"/>
        <w:gridCol w:w="1194"/>
        <w:gridCol w:w="1194"/>
        <w:gridCol w:w="1194"/>
        <w:gridCol w:w="1194"/>
      </w:tblGrid>
      <w:tr>
        <w:trPr>
          <w:trHeight w:hRule="exact" w:val="144"/>
        </w:trPr>
        <w:tc>
          <w:tcPr>
            <w:tcW w:type="dxa" w:w="2306"/>
            <w:gridSpan w:val="2"/>
            <w:vMerge w:val="restart"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3120"/>
            <w:gridSpan w:val="3"/>
            <w:tcBorders>
              <w:start w:sz="3.2000000000000455" w:val="single" w:color="#000000"/>
              <w:top w:sz="7.200000000000273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取引高 Trading Volume</w:t>
            </w:r>
          </w:p>
        </w:tc>
        <w:tc>
          <w:tcPr>
            <w:tcW w:type="dxa" w:w="4088"/>
            <w:gridSpan w:val="3"/>
            <w:tcBorders>
              <w:start w:sz="3.199999999999818" w:val="single" w:color="#000000"/>
              <w:top w:sz="7.200000000000273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取引代金 Trading Value</w:t>
            </w:r>
          </w:p>
        </w:tc>
      </w:tr>
      <w:tr>
        <w:trPr>
          <w:trHeight w:hRule="exact" w:val="144"/>
        </w:trPr>
        <w:tc>
          <w:tcPr>
            <w:tcW w:type="dxa" w:w="2388"/>
            <w:gridSpan w:val="2"/>
            <w:vMerge/>
            <w:tcBorders>
              <w:start w:sz="7.199999999999989" w:val="single" w:color="#000000"/>
              <w:top w:sz="7.200000000000273" w:val="single" w:color="#000000"/>
              <w:end w:sz="3.2000000000000455" w:val="single" w:color="#000000"/>
              <w:bottom w:sz="3.199999999999818" w:val="single" w:color="#000000"/>
            </w:tcBorders>
          </w:tcPr>
          <w:p/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数量 Volume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金額 Value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比率 Ratio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差引き Balance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生保・損保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Insurance Cos.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都銀・地銀等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City BKs, Regional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BKs, etc.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0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信託銀行</w:t>
            </w:r>
            <w:r>
              <w:br/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Trust Banks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3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  <w:tr>
        <w:trPr>
          <w:trHeight w:hRule="exact" w:val="144"/>
        </w:trPr>
        <w:tc>
          <w:tcPr>
            <w:tcW w:type="dxa" w:w="1202"/>
            <w:vMerge w:val="restart"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4" w:right="144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その他金融機関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 xml:space="preserve">Other Financial </w:t>
            </w: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Institutions</w:t>
            </w:r>
          </w:p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売り Sales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3.200000000000727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4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買い Purchases</w:t>
            </w:r>
          </w:p>
        </w:tc>
        <w:tc>
          <w:tcPr>
            <w:tcW w:type="dxa" w:w="1046"/>
            <w:tcBorders>
              <w:start w:sz="3.2000000000000455" w:val="single" w:color="#000000"/>
              <w:top w:sz="3.2000000000007276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2000000000007276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592"/>
            <w:tcBorders>
              <w:start w:sz="3.199999999999818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2000000000007276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4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2000000000007276" w:val="single" w:color="#000000"/>
              <w:end w:sz="7.20000000000072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146"/>
        </w:trPr>
        <w:tc>
          <w:tcPr>
            <w:tcW w:type="dxa" w:w="1194"/>
            <w:vMerge/>
            <w:tcBorders>
              <w:start w:sz="7.199999999999989" w:val="single" w:color="#000000"/>
              <w:top w:sz="3.199999999999818" w:val="single" w:color="#000000"/>
              <w:end w:sz="3.199999999999932" w:val="single" w:color="#000000"/>
              <w:bottom w:sz="7.199999999999818" w:val="single" w:color="#000000"/>
            </w:tcBorders>
          </w:tcPr>
          <w:p/>
        </w:tc>
        <w:tc>
          <w:tcPr>
            <w:tcW w:type="dxa" w:w="1104"/>
            <w:tcBorders>
              <w:start w:sz="3.199999999999932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20" w:right="0" w:firstLine="0"/>
              <w:jc w:val="lef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合計 Total</w:t>
            </w:r>
          </w:p>
        </w:tc>
        <w:tc>
          <w:tcPr>
            <w:tcW w:type="dxa" w:w="1046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28"/>
            <w:tcBorders>
              <w:start w:sz="3.2000000000000455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346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  <w:tc>
          <w:tcPr>
            <w:tcW w:type="dxa" w:w="15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0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</w:t>
            </w:r>
          </w:p>
        </w:tc>
        <w:tc>
          <w:tcPr>
            <w:tcW w:type="dxa" w:w="73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22" w:firstLine="0"/>
              <w:jc w:val="right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0.0</w:t>
            </w:r>
          </w:p>
        </w:tc>
        <w:tc>
          <w:tcPr>
            <w:tcW w:type="dxa" w:w="1766"/>
            <w:tcBorders>
              <w:start w:sz="3.200000000000273" w:val="single" w:color="#000000"/>
              <w:top w:sz="3.199999999999818" w:val="single" w:color="#000000"/>
              <w:end w:sz="7.200000000000728" w:val="single" w:color="#000000"/>
              <w:bottom w:sz="7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85" w:lineRule="auto" w:before="12" w:after="0"/>
              <w:ind w:left="0" w:right="0" w:firstLine="0"/>
              <w:jc w:val="center"/>
            </w:pPr>
            <w:r>
              <w:rPr>
                <w:rFonts w:ascii="MS PGothic" w:hAnsi="MS PGothic" w:eastAsia="MS PGothic"/>
                <w:b w:val="0"/>
                <w:i w:val="0"/>
                <w:color w:val="000000"/>
                <w:sz w:val="12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245" w:lineRule="auto" w:before="202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(注)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1.▲印は売越しを示す。</w:t>
      </w:r>
    </w:p>
    <w:p>
      <w:pPr>
        <w:autoSpaceDN w:val="0"/>
        <w:autoSpaceDE w:val="0"/>
        <w:widowControl/>
        <w:spacing w:line="245" w:lineRule="auto" w:before="20" w:after="0"/>
        <w:ind w:left="30" w:right="4896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2.投資部門別及び総計欄の取引高及び取引代金の数値は、資本の額３０億円未満の証券会社の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 委託分を除いて集計したものである。</w:t>
      </w:r>
    </w:p>
    <w:p>
      <w:pPr>
        <w:autoSpaceDN w:val="0"/>
        <w:autoSpaceDE w:val="0"/>
        <w:widowControl/>
        <w:spacing w:line="245" w:lineRule="auto" w:before="148" w:after="0"/>
        <w:ind w:left="30" w:right="8352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 xml:space="preserve">Notes: </w:t>
      </w:r>
      <w:r>
        <w:br/>
      </w:r>
      <w:r>
        <w:rPr>
          <w:rFonts w:ascii="MS PGothic" w:hAnsi="MS PGothic" w:eastAsia="MS PGothic"/>
          <w:b w:val="0"/>
          <w:i w:val="0"/>
          <w:color w:val="000000"/>
          <w:sz w:val="11"/>
        </w:rPr>
        <w:t>1)▲indicates net selling.</w:t>
      </w:r>
    </w:p>
    <w:p>
      <w:pPr>
        <w:autoSpaceDN w:val="0"/>
        <w:autoSpaceDE w:val="0"/>
        <w:widowControl/>
        <w:spacing w:line="185" w:lineRule="auto" w:before="20" w:after="0"/>
        <w:ind w:left="30" w:right="0" w:firstLine="0"/>
        <w:jc w:val="left"/>
      </w:pPr>
      <w:r>
        <w:rPr>
          <w:rFonts w:ascii="MS PGothic" w:hAnsi="MS PGothic" w:eastAsia="MS PGothic"/>
          <w:b w:val="0"/>
          <w:i w:val="0"/>
          <w:color w:val="000000"/>
          <w:sz w:val="11"/>
        </w:rPr>
        <w:t>2)This survey covers Trading Participants with capital of 3 billion yen or more.</w:t>
      </w:r>
    </w:p>
    <w:p>
      <w:pPr>
        <w:autoSpaceDN w:val="0"/>
        <w:autoSpaceDE w:val="0"/>
        <w:widowControl/>
        <w:spacing w:line="185" w:lineRule="auto" w:before="820" w:after="0"/>
        <w:ind w:left="0" w:right="56" w:firstLine="0"/>
        <w:jc w:val="right"/>
      </w:pPr>
      <w:r>
        <w:rPr>
          <w:rFonts w:ascii="MS PGothic" w:hAnsi="MS PGothic" w:eastAsia="MS PGothic"/>
          <w:b w:val="0"/>
          <w:i w:val="0"/>
          <w:color w:val="000000"/>
          <w:sz w:val="12"/>
        </w:rPr>
        <w:t>Copyright © Osaka Exchange, Inc. All rights reserved.</w:t>
      </w:r>
    </w:p>
    <w:sectPr w:rsidR="00FC693F" w:rsidRPr="0006063C" w:rsidSect="00034616">
      <w:pgSz w:w="11906" w:h="16838"/>
      <w:pgMar w:top="542" w:right="1352" w:bottom="1286" w:left="100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