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3A34"/>
          <w:spacing w:val="60"/>
          <w:sz w:val="30"/>
          <w:szCs w:val="30"/>
        </w:rPr>
        <w:t xml:space="preserve">VERAE HEALTH</w:t>
      </w:r>
    </w:p>
    <w:p>
      <w:pPr>
        <w:pBdr>
          <w:bottom w:val="single" w:color="1F3A34" w:sz="12" w:space="8"/>
        </w:pBdr>
        <w:spacing w:after="0" w:before="200"/>
      </w:pPr>
    </w:p>
    <w:p>
      <w:pPr>
        <w:spacing w:after="0" w:before="320"/>
      </w:pPr>
      <w:r>
        <w:rPr>
          <w:b/>
          <w:bCs/>
          <w:color w:val="222222"/>
          <w:sz w:val="52"/>
          <w:szCs w:val="52"/>
        </w:rPr>
        <w:t xml:space="preserve">Backend Infrastructure Brief</w:t>
      </w:r>
    </w:p>
    <w:p>
      <w:pPr>
        <w:spacing w:after="0" w:before="60"/>
      </w:pPr>
      <w:r>
        <w:rPr>
          <w:b/>
          <w:bCs/>
          <w:color w:val="222222"/>
          <w:sz w:val="52"/>
          <w:szCs w:val="52"/>
        </w:rPr>
        <w:t xml:space="preserve">&amp; Managed Services Scope of Works</w:t>
      </w:r>
    </w:p>
    <w:p>
      <w:pPr>
        <w:spacing w:after="0" w:before="400"/>
      </w:pPr>
      <w:r>
        <w:rPr>
          <w:i/>
          <w:iCs/>
          <w:color w:val="555555"/>
          <w:sz w:val="24"/>
          <w:szCs w:val="24"/>
        </w:rPr>
        <w:t xml:space="preserve">Request for Quotation — commercial-in-confidence</w:t>
      </w:r>
    </w:p>
    <w:p>
      <w:pPr>
        <w:spacing w:after="0" w:before="1200"/>
      </w:pPr>
      <w:r>
        <w:rPr>
          <w:color w:val="333333"/>
          <w:sz w:val="22"/>
          <w:szCs w:val="22"/>
        </w:rPr>
        <w:t xml:space="preserve">Prepared for: prospective Managed Service Providers</w:t>
      </w:r>
    </w:p>
    <w:p>
      <w:pPr>
        <w:spacing w:after="0" w:before="60"/>
      </w:pPr>
      <w:r>
        <w:rPr>
          <w:color w:val="333333"/>
          <w:sz w:val="22"/>
          <w:szCs w:val="22"/>
        </w:rPr>
        <w:t xml:space="preserve">Purpose: solicit quotes to operate &amp; maintain the Verae Health backend on AWS</w:t>
      </w:r>
    </w:p>
    <w:p>
      <w:r>
        <w:br w:type="page"/>
      </w:r>
    </w:p>
    <w:p>
      <w:pPr>
        <w:pStyle w:val="Heading1"/>
        <w:spacing w:after="140" w:before="320"/>
      </w:pPr>
      <w:r>
        <w:rPr>
          <w:b/>
          <w:bCs/>
          <w:color w:val="1F3A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A34"/>
        </w:rPr>
        <w:t xml:space="preserve">1. Engagement summary</w:t>
      </w:r>
    </w:p>
    <w:p>
      <w:pPr>
        <w:spacing w:after="120" w:line="276"/>
      </w:pPr>
      <w:r>
        <w:t xml:space="preserve">Verae Health operates a small healthcare web application. The application code is built and owned in-house; we are seeking an MSP to operate and maintain the production infrastructure on AWS — patching, monitoring, backups, incident response, and security/compliance upkeep.</w:t>
      </w:r>
    </w:p>
    <w:p>
      <w:pPr>
        <w:spacing w:after="120" w:line="276"/>
      </w:pPr>
      <w:r>
        <w:t xml:space="preserve">Please read the priorities below before quoting — they shape the whole engagement:</w:t>
      </w:r>
    </w:p>
    <w:tbl>
      <w:tblPr>
        <w:tblW w:type="dxa" w:w="9360"/>
        <w:tblBorders>
          <w:top w:val="single" w:color="C9D6D2" w:sz="2"/>
          <w:left w:val="single" w:color="C9D6D2" w:sz="2"/>
          <w:bottom w:val="single" w:color="C9D6D2" w:sz="2"/>
          <w:right w:val="single" w:color="C9D6D2" w:sz="2"/>
          <w:insideH w:val="single" w:color="DCE5E2" w:sz="1"/>
          <w:insideV w:val="single" w:color="DCE5E2" w:sz="1"/>
        </w:tblBorders>
      </w:tblPr>
      <w:tblGrid>
        <w:gridCol w:w="2400"/>
        <w:gridCol w:w="6960"/>
      </w:tblGrid>
      <w:tr>
        <w:trPr>
          <w:tblHeader/>
        </w:trPr>
        <w:tc>
          <w:tcPr>
            <w:tcW w:type="dxa" w:w="2400"/>
            <w:shd w:fill="1F3A34" w:color="auto" w:val="clear"/>
            <w:tcMar>
              <w:top w:type="dxa" w:w="60"/>
              <w:left w:type="dxa" w:w="100"/>
              <w:bottom w:type="dxa" w:w="60"/>
              <w:right w:type="dxa" w:w="100"/>
            </w:tcMar>
          </w:tcPr>
          <w:p>
            <w:pPr>
              <w:jc w:val="left"/>
            </w:pPr>
            <w:r>
              <w:rPr>
                <w:b/>
                <w:bCs/>
                <w:color w:val="FFFFFF"/>
                <w:sz w:val="20"/>
                <w:szCs w:val="20"/>
              </w:rPr>
              <w:t xml:space="preserve">Priority</w:t>
            </w:r>
          </w:p>
        </w:tc>
        <w:tc>
          <w:tcPr>
            <w:tcW w:type="dxa" w:w="6960"/>
            <w:shd w:fill="1F3A34" w:color="auto" w:val="clear"/>
            <w:tcMar>
              <w:top w:type="dxa" w:w="60"/>
              <w:left w:type="dxa" w:w="100"/>
              <w:bottom w:type="dxa" w:w="60"/>
              <w:right w:type="dxa" w:w="100"/>
            </w:tcMar>
          </w:tcPr>
          <w:p>
            <w:pPr>
              <w:jc w:val="left"/>
            </w:pPr>
            <w:r>
              <w:rPr>
                <w:b/>
                <w:bCs/>
                <w:color w:val="FFFFFF"/>
                <w:sz w:val="20"/>
                <w:szCs w:val="20"/>
              </w:rPr>
              <w:t xml:space="preserve">Guidance for bidders</w:t>
            </w:r>
          </w:p>
        </w:tc>
      </w:tr>
      <w:tr>
        <w:tc>
          <w:tcPr>
            <w:tcW w:type="dxa" w:w="2400"/>
            <w:tcMar>
              <w:top w:type="dxa" w:w="60"/>
              <w:left w:type="dxa" w:w="100"/>
              <w:bottom w:type="dxa" w:w="60"/>
              <w:right w:type="dxa" w:w="100"/>
            </w:tcMar>
          </w:tcPr>
          <w:p>
            <w:pPr>
              <w:jc w:val="left"/>
            </w:pPr>
            <w:r>
              <w:rPr>
                <w:b/>
                <w:bCs/>
                <w:sz w:val="20"/>
                <w:szCs w:val="20"/>
              </w:rPr>
              <w:t xml:space="preserve">Security &amp; regulatory compliance</w:t>
            </w:r>
          </w:p>
        </w:tc>
        <w:tc>
          <w:tcPr>
            <w:tcW w:type="dxa" w:w="6960"/>
            <w:tcMar>
              <w:top w:type="dxa" w:w="60"/>
              <w:left w:type="dxa" w:w="100"/>
              <w:bottom w:type="dxa" w:w="60"/>
              <w:right w:type="dxa" w:w="100"/>
            </w:tcMar>
          </w:tcPr>
          <w:p>
            <w:pPr>
              <w:jc w:val="left"/>
            </w:pPr>
            <w:r>
              <w:rPr>
                <w:b w:val="false"/>
                <w:bCs w:val="false"/>
                <w:sz w:val="20"/>
                <w:szCs w:val="20"/>
              </w:rPr>
              <w:t xml:space="preserve">Non-negotiable. We handle personal health data under Malaysia's PDPA. Do not propose anything that weakens the controls in §4 or moves data out of Malaysia.</w:t>
            </w:r>
          </w:p>
        </w:tc>
      </w:tr>
      <w:tr>
        <w:tc>
          <w:tcPr>
            <w:tcW w:type="dxa" w:w="2400"/>
            <w:shd w:fill="F4F7F6" w:color="auto" w:val="clear"/>
            <w:tcMar>
              <w:top w:type="dxa" w:w="60"/>
              <w:left w:type="dxa" w:w="100"/>
              <w:bottom w:type="dxa" w:w="60"/>
              <w:right w:type="dxa" w:w="100"/>
            </w:tcMar>
          </w:tcPr>
          <w:p>
            <w:pPr>
              <w:jc w:val="left"/>
            </w:pPr>
            <w:r>
              <w:rPr>
                <w:b/>
                <w:bCs/>
                <w:sz w:val="20"/>
                <w:szCs w:val="20"/>
              </w:rPr>
              <w:t xml:space="preserve">Lowest total cost</w:t>
            </w:r>
          </w:p>
        </w:tc>
        <w:tc>
          <w:tcPr>
            <w:tcW w:type="dxa" w:w="6960"/>
            <w:shd w:fill="F4F7F6" w:color="auto" w:val="clear"/>
            <w:tcMar>
              <w:top w:type="dxa" w:w="60"/>
              <w:left w:type="dxa" w:w="100"/>
              <w:bottom w:type="dxa" w:w="60"/>
              <w:right w:type="dxa" w:w="100"/>
            </w:tcMar>
          </w:tcPr>
          <w:p>
            <w:pPr>
              <w:jc w:val="left"/>
            </w:pPr>
            <w:r>
              <w:rPr>
                <w:b w:val="false"/>
                <w:bCs w:val="false"/>
                <w:sz w:val="20"/>
                <w:szCs w:val="20"/>
              </w:rPr>
              <w:t xml:space="preserve">We want a lean managed service. Quote for what a small, low-traffic system genuinely needs — not an enterprise 24/7 NOC.</w:t>
            </w:r>
          </w:p>
        </w:tc>
      </w:tr>
      <w:tr>
        <w:tc>
          <w:tcPr>
            <w:tcW w:type="dxa" w:w="2400"/>
            <w:tcMar>
              <w:top w:type="dxa" w:w="60"/>
              <w:left w:type="dxa" w:w="100"/>
              <w:bottom w:type="dxa" w:w="60"/>
              <w:right w:type="dxa" w:w="100"/>
            </w:tcMar>
          </w:tcPr>
          <w:p>
            <w:pPr>
              <w:jc w:val="left"/>
            </w:pPr>
            <w:r>
              <w:rPr>
                <w:b/>
                <w:bCs/>
                <w:sz w:val="20"/>
                <w:szCs w:val="20"/>
              </w:rPr>
              <w:t xml:space="preserve">Low management overhead</w:t>
            </w:r>
          </w:p>
        </w:tc>
        <w:tc>
          <w:tcPr>
            <w:tcW w:type="dxa" w:w="6960"/>
            <w:tcMar>
              <w:top w:type="dxa" w:w="60"/>
              <w:left w:type="dxa" w:w="100"/>
              <w:bottom w:type="dxa" w:w="60"/>
              <w:right w:type="dxa" w:w="100"/>
            </w:tcMar>
          </w:tcPr>
          <w:p>
            <w:pPr>
              <w:jc w:val="left"/>
            </w:pPr>
            <w:r>
              <w:rPr>
                <w:b w:val="false"/>
                <w:bCs w:val="false"/>
                <w:sz w:val="20"/>
                <w:szCs w:val="20"/>
              </w:rPr>
              <w:t xml:space="preserve">Favour automation and low-touch operations. The smaller and simpler the ongoing effort, the better.</w:t>
            </w:r>
          </w:p>
        </w:tc>
      </w:tr>
      <w:tr>
        <w:tc>
          <w:tcPr>
            <w:tcW w:type="dxa" w:w="2400"/>
            <w:shd w:fill="F4F7F6" w:color="auto" w:val="clear"/>
            <w:tcMar>
              <w:top w:type="dxa" w:w="60"/>
              <w:left w:type="dxa" w:w="100"/>
              <w:bottom w:type="dxa" w:w="60"/>
              <w:right w:type="dxa" w:w="100"/>
            </w:tcMar>
          </w:tcPr>
          <w:p>
            <w:pPr>
              <w:jc w:val="left"/>
            </w:pPr>
            <w:r>
              <w:rPr>
                <w:b/>
                <w:bCs/>
                <w:sz w:val="20"/>
                <w:szCs w:val="20"/>
              </w:rPr>
              <w:t xml:space="preserve">Scalability (low priority now)</w:t>
            </w:r>
          </w:p>
        </w:tc>
        <w:tc>
          <w:tcPr>
            <w:tcW w:type="dxa" w:w="6960"/>
            <w:shd w:fill="F4F7F6" w:color="auto" w:val="clear"/>
            <w:tcMar>
              <w:top w:type="dxa" w:w="60"/>
              <w:left w:type="dxa" w:w="100"/>
              <w:bottom w:type="dxa" w:w="60"/>
              <w:right w:type="dxa" w:w="100"/>
            </w:tcMar>
          </w:tcPr>
          <w:p>
            <w:pPr>
              <w:jc w:val="left"/>
            </w:pPr>
            <w:r>
              <w:rPr>
                <w:b w:val="false"/>
                <w:bCs w:val="false"/>
                <w:sz w:val="20"/>
                <w:szCs w:val="20"/>
              </w:rPr>
              <w:t xml:space="preserve">Very few users, infrequent usage. Do not price for autoscaling, high-availability clustering, or multi-region. We will revisit if usage grows.</w:t>
            </w:r>
          </w:p>
        </w:tc>
      </w:tr>
    </w:tbl>
    <w:p>
      <w:pPr>
        <w:spacing w:after="120"/>
      </w:pPr>
    </w:p>
    <w:p>
      <w:pPr>
        <w:spacing w:after="120" w:line="276"/>
      </w:pPr>
      <w:r>
        <w:t xml:space="preserve">This is deliberately a modest footprint. We would rather pay for a right-sized retainer than an oversized platform.</w:t>
      </w:r>
    </w:p>
    <w:p>
      <w:pPr>
        <w:pStyle w:val="Heading1"/>
        <w:spacing w:after="140" w:before="320"/>
      </w:pPr>
      <w:r>
        <w:rPr>
          <w:b/>
          <w:bCs/>
          <w:color w:val="1F3A34"/>
        </w:rPr>
        <w:t xml:space="preserve">2. Solution architecture</w:t>
      </w:r>
    </w:p>
    <w:p>
      <w:pPr>
        <w:pStyle w:val="Heading2"/>
        <w:spacing w:after="100" w:before="220"/>
      </w:pPr>
      <w:r>
        <w:rPr>
          <w:b/>
          <w:bCs/>
          <w:color w:val="1F3A34"/>
        </w:rPr>
        <w:t xml:space="preserve">2.1  High-level topology</w:t>
      </w:r>
    </w:p>
    <w:p>
      <w:pPr>
        <w:spacing w:after="0" w:line="200"/>
      </w:pPr>
      <w:r>
        <w:rPr>
          <w:rFonts w:ascii="Consolas" w:cs="Consolas" w:eastAsia="Consolas" w:hAnsi="Consolas"/>
          <w:sz w:val="15"/>
          <w:szCs w:val="15"/>
        </w:rPr>
        <w:t xml:space="preserve">                    Internet  (members · clinicians · lab partners)</w:t>
      </w:r>
    </w:p>
    <w:p>
      <w:pPr>
        <w:spacing w:after="0" w:line="200"/>
      </w:pPr>
      <w:r>
        <w:rPr>
          <w:rFonts w:ascii="Consolas" w:cs="Consolas" w:eastAsia="Consolas" w:hAnsi="Consolas"/>
          <w:sz w:val="15"/>
          <w:szCs w:val="15"/>
        </w:rPr>
        <w:t xml:space="preserve">                                     |</w:t>
      </w:r>
    </w:p>
    <w:p>
      <w:pPr>
        <w:spacing w:after="0" w:line="200"/>
      </w:pPr>
      <w:r>
        <w:rPr>
          <w:rFonts w:ascii="Consolas" w:cs="Consolas" w:eastAsia="Consolas" w:hAnsi="Consolas"/>
          <w:sz w:val="15"/>
          <w:szCs w:val="15"/>
        </w:rPr>
        <w:t xml:space="preserve">        +----------------------------+----------------------------+</w:t>
      </w:r>
    </w:p>
    <w:p>
      <w:pPr>
        <w:spacing w:after="0" w:line="200"/>
      </w:pPr>
      <w:r>
        <w:rPr>
          <w:rFonts w:ascii="Consolas" w:cs="Consolas" w:eastAsia="Consolas" w:hAnsi="Consolas"/>
          <w:sz w:val="15"/>
          <w:szCs w:val="15"/>
        </w:rPr>
        <w:t xml:space="preserve">        | static frontend            | API / backend              |</w:t>
      </w:r>
    </w:p>
    <w:p>
      <w:pPr>
        <w:spacing w:after="0" w:line="200"/>
      </w:pPr>
      <w:r>
        <w:rPr>
          <w:rFonts w:ascii="Consolas" w:cs="Consolas" w:eastAsia="Consolas" w:hAnsi="Consolas"/>
          <w:sz w:val="15"/>
          <w:szCs w:val="15"/>
        </w:rPr>
        <w:t xml:space="preserve">        v                            v                            |</w:t>
      </w:r>
    </w:p>
    <w:p>
      <w:pPr>
        <w:spacing w:after="0" w:line="200"/>
      </w:pPr>
      <w:r>
        <w:rPr>
          <w:rFonts w:ascii="Consolas" w:cs="Consolas" w:eastAsia="Consolas" w:hAnsi="Consolas"/>
          <w:sz w:val="15"/>
          <w:szCs w:val="15"/>
        </w:rPr>
        <w:t xml:space="preserve">  +------------------+   +--------------------------------------+  |</w:t>
      </w:r>
    </w:p>
    <w:p>
      <w:pPr>
        <w:spacing w:after="0" w:line="200"/>
      </w:pPr>
      <w:r>
        <w:rPr>
          <w:rFonts w:ascii="Consolas" w:cs="Consolas" w:eastAsia="Consolas" w:hAnsi="Consolas"/>
          <w:sz w:val="15"/>
          <w:szCs w:val="15"/>
        </w:rPr>
        <w:t xml:space="preserve">  | Vercel (managed) |   | AWS Lightsail - Malaysia             |  |</w:t>
      </w:r>
    </w:p>
    <w:p>
      <w:pPr>
        <w:spacing w:after="0" w:line="200"/>
      </w:pPr>
      <w:r>
        <w:rPr>
          <w:rFonts w:ascii="Consolas" w:cs="Consolas" w:eastAsia="Consolas" w:hAnsi="Consolas"/>
          <w:sz w:val="15"/>
          <w:szCs w:val="15"/>
        </w:rPr>
        <w:t xml:space="preserve">  |  Landing page    |   |   region ap-southeast-5              |  |</w:t>
      </w:r>
    </w:p>
    <w:p>
      <w:pPr>
        <w:spacing w:after="0" w:line="200"/>
      </w:pPr>
      <w:r>
        <w:rPr>
          <w:rFonts w:ascii="Consolas" w:cs="Consolas" w:eastAsia="Consolas" w:hAnsi="Consolas"/>
          <w:sz w:val="15"/>
          <w:szCs w:val="15"/>
        </w:rPr>
        <w:t xml:space="preserve">  |  Member portal   |   |                                      |  |</w:t>
      </w:r>
    </w:p>
    <w:p>
      <w:pPr>
        <w:spacing w:after="0" w:line="200"/>
      </w:pPr>
      <w:r>
        <w:rPr>
          <w:rFonts w:ascii="Consolas" w:cs="Consolas" w:eastAsia="Consolas" w:hAnsi="Consolas"/>
          <w:sz w:val="15"/>
          <w:szCs w:val="15"/>
        </w:rPr>
        <w:t xml:space="preserve">  | veraehealth.com  |   |  +--------------------------------+  |  |</w:t>
      </w:r>
    </w:p>
    <w:p>
      <w:pPr>
        <w:spacing w:after="0" w:line="200"/>
      </w:pPr>
      <w:r>
        <w:rPr>
          <w:rFonts w:ascii="Consolas" w:cs="Consolas" w:eastAsia="Consolas" w:hAnsi="Consolas"/>
          <w:sz w:val="15"/>
          <w:szCs w:val="15"/>
        </w:rPr>
        <w:t xml:space="preserve">  | app.veraehealth  |   |  | verae-prod (Ubuntu, 2GB, IP)   |  |  |</w:t>
      </w:r>
    </w:p>
    <w:p>
      <w:pPr>
        <w:spacing w:after="0" w:line="200"/>
      </w:pPr>
      <w:r>
        <w:rPr>
          <w:rFonts w:ascii="Consolas" w:cs="Consolas" w:eastAsia="Consolas" w:hAnsi="Consolas"/>
          <w:sz w:val="15"/>
          <w:szCs w:val="15"/>
        </w:rPr>
        <w:t xml:space="preserve">  |      .com        |   |  |  Docker Compose:               |  |  |</w:t>
      </w:r>
    </w:p>
    <w:p>
      <w:pPr>
        <w:spacing w:after="0" w:line="200"/>
      </w:pPr>
      <w:r>
        <w:rPr>
          <w:rFonts w:ascii="Consolas" w:cs="Consolas" w:eastAsia="Consolas" w:hAnsi="Consolas"/>
          <w:sz w:val="15"/>
          <w:szCs w:val="15"/>
        </w:rPr>
        <w:t xml:space="preserve">  +--------+---------+   |  |   - Caddy  (TLS reverse proxy) |  |  |</w:t>
      </w:r>
    </w:p>
    <w:p>
      <w:pPr>
        <w:spacing w:after="0" w:line="200"/>
      </w:pPr>
      <w:r>
        <w:rPr>
          <w:rFonts w:ascii="Consolas" w:cs="Consolas" w:eastAsia="Consolas" w:hAnsi="Consolas"/>
          <w:sz w:val="15"/>
          <w:szCs w:val="15"/>
        </w:rPr>
        <w:t xml:space="preserve">           | HTTPS       |  |   - API    (Node.js / Fastify) |  |  |</w:t>
      </w:r>
    </w:p>
    <w:p>
      <w:pPr>
        <w:spacing w:after="0" w:line="200"/>
      </w:pPr>
      <w:r>
        <w:rPr>
          <w:rFonts w:ascii="Consolas" w:cs="Consolas" w:eastAsia="Consolas" w:hAnsi="Consolas"/>
          <w:sz w:val="15"/>
          <w:szCs w:val="15"/>
        </w:rPr>
        <w:t xml:space="preserve">           +------------&gt;|  |   - Worker (background jobs)   |  |  |</w:t>
      </w:r>
    </w:p>
    <w:p>
      <w:pPr>
        <w:spacing w:after="0" w:line="200"/>
      </w:pPr>
      <w:r>
        <w:rPr>
          <w:rFonts w:ascii="Consolas" w:cs="Consolas" w:eastAsia="Consolas" w:hAnsi="Consolas"/>
          <w:sz w:val="15"/>
          <w:szCs w:val="15"/>
        </w:rPr>
        <w:t xml:space="preserve">                         |  |   - ClamAV (malware scanning)  |  |  |</w:t>
      </w:r>
    </w:p>
    <w:p>
      <w:pPr>
        <w:spacing w:after="0" w:line="200"/>
      </w:pPr>
      <w:r>
        <w:rPr>
          <w:rFonts w:ascii="Consolas" w:cs="Consolas" w:eastAsia="Consolas" w:hAnsi="Consolas"/>
          <w:sz w:val="15"/>
          <w:szCs w:val="15"/>
        </w:rPr>
        <w:t xml:space="preserve">                         |  +---------------+----------------+  |  |</w:t>
      </w:r>
    </w:p>
    <w:p>
      <w:pPr>
        <w:spacing w:after="0" w:line="200"/>
      </w:pPr>
      <w:r>
        <w:rPr>
          <w:rFonts w:ascii="Consolas" w:cs="Consolas" w:eastAsia="Consolas" w:hAnsi="Consolas"/>
          <w:sz w:val="15"/>
          <w:szCs w:val="15"/>
        </w:rPr>
        <w:t xml:space="preserve">                         |                  | private, TLS      |  |</w:t>
      </w:r>
    </w:p>
    <w:p>
      <w:pPr>
        <w:spacing w:after="0" w:line="200"/>
      </w:pPr>
      <w:r>
        <w:rPr>
          <w:rFonts w:ascii="Consolas" w:cs="Consolas" w:eastAsia="Consolas" w:hAnsi="Consolas"/>
          <w:sz w:val="15"/>
          <w:szCs w:val="15"/>
        </w:rPr>
        <w:t xml:space="preserve">                         |  +---------------v----------------+  |  |</w:t>
      </w:r>
    </w:p>
    <w:p>
      <w:pPr>
        <w:spacing w:after="0" w:line="200"/>
      </w:pPr>
      <w:r>
        <w:rPr>
          <w:rFonts w:ascii="Consolas" w:cs="Consolas" w:eastAsia="Consolas" w:hAnsi="Consolas"/>
          <w:sz w:val="15"/>
          <w:szCs w:val="15"/>
        </w:rPr>
        <w:t xml:space="preserve">                         |  | verae-prod-db                  |  |  |</w:t>
      </w:r>
    </w:p>
    <w:p>
      <w:pPr>
        <w:spacing w:after="0" w:line="200"/>
      </w:pPr>
      <w:r>
        <w:rPr>
          <w:rFonts w:ascii="Consolas" w:cs="Consolas" w:eastAsia="Consolas" w:hAnsi="Consolas"/>
          <w:sz w:val="15"/>
          <w:szCs w:val="15"/>
        </w:rPr>
        <w:t xml:space="preserve">                         |  | Lightsail managed PostgreSQL   |  |  |</w:t>
      </w:r>
    </w:p>
    <w:p>
      <w:pPr>
        <w:spacing w:after="0" w:line="200"/>
      </w:pPr>
      <w:r>
        <w:rPr>
          <w:rFonts w:ascii="Consolas" w:cs="Consolas" w:eastAsia="Consolas" w:hAnsi="Consolas"/>
          <w:sz w:val="15"/>
          <w:szCs w:val="15"/>
        </w:rPr>
        <w:t xml:space="preserve">                         |  | (private endpoint, backups +   |  |  |</w:t>
      </w:r>
    </w:p>
    <w:p>
      <w:pPr>
        <w:spacing w:after="0" w:line="200"/>
      </w:pPr>
      <w:r>
        <w:rPr>
          <w:rFonts w:ascii="Consolas" w:cs="Consolas" w:eastAsia="Consolas" w:hAnsi="Consolas"/>
          <w:sz w:val="15"/>
          <w:szCs w:val="15"/>
        </w:rPr>
        <w:t xml:space="preserve">                         |  |  point-in-time recovery)       |  |  |</w:t>
      </w:r>
    </w:p>
    <w:p>
      <w:pPr>
        <w:spacing w:after="0" w:line="200"/>
      </w:pPr>
      <w:r>
        <w:rPr>
          <w:rFonts w:ascii="Consolas" w:cs="Consolas" w:eastAsia="Consolas" w:hAnsi="Consolas"/>
          <w:sz w:val="15"/>
          <w:szCs w:val="15"/>
        </w:rPr>
        <w:t xml:space="preserve">                         |  +--------------------------------+  |  |</w:t>
      </w:r>
    </w:p>
    <w:p>
      <w:pPr>
        <w:spacing w:after="0" w:line="200"/>
      </w:pPr>
      <w:r>
        <w:rPr>
          <w:rFonts w:ascii="Consolas" w:cs="Consolas" w:eastAsia="Consolas" w:hAnsi="Consolas"/>
          <w:sz w:val="15"/>
          <w:szCs w:val="15"/>
        </w:rPr>
        <w:t xml:space="preserve">                         |  +--------------------------------+  |  |</w:t>
      </w:r>
    </w:p>
    <w:p>
      <w:pPr>
        <w:spacing w:after="0" w:line="200"/>
      </w:pPr>
      <w:r>
        <w:rPr>
          <w:rFonts w:ascii="Consolas" w:cs="Consolas" w:eastAsia="Consolas" w:hAnsi="Consolas"/>
          <w:sz w:val="15"/>
          <w:szCs w:val="15"/>
        </w:rPr>
        <w:t xml:space="preserve">                         |  | Lightsail buckets (S3-compat)  |  |  |</w:t>
      </w:r>
    </w:p>
    <w:p>
      <w:pPr>
        <w:spacing w:after="0" w:line="200"/>
      </w:pPr>
      <w:r>
        <w:rPr>
          <w:rFonts w:ascii="Consolas" w:cs="Consolas" w:eastAsia="Consolas" w:hAnsi="Consolas"/>
          <w:sz w:val="15"/>
          <w:szCs w:val="15"/>
        </w:rPr>
        <w:t xml:space="preserve">                         |  |  documents (private, versioned)|  |  |</w:t>
      </w:r>
    </w:p>
    <w:p>
      <w:pPr>
        <w:spacing w:after="0" w:line="200"/>
      </w:pPr>
      <w:r>
        <w:rPr>
          <w:rFonts w:ascii="Consolas" w:cs="Consolas" w:eastAsia="Consolas" w:hAnsi="Consolas"/>
          <w:sz w:val="15"/>
          <w:szCs w:val="15"/>
        </w:rPr>
        <w:t xml:space="preserve">                         |  |  + backups                     |  |  |</w:t>
      </w:r>
    </w:p>
    <w:p>
      <w:pPr>
        <w:spacing w:after="0" w:line="200"/>
      </w:pPr>
      <w:r>
        <w:rPr>
          <w:rFonts w:ascii="Consolas" w:cs="Consolas" w:eastAsia="Consolas" w:hAnsi="Consolas"/>
          <w:sz w:val="15"/>
          <w:szCs w:val="15"/>
        </w:rPr>
        <w:t xml:space="preserve">                         |  +--------------------------------+  |  |</w:t>
      </w:r>
    </w:p>
    <w:p>
      <w:pPr>
        <w:spacing w:after="0" w:line="200"/>
      </w:pPr>
      <w:r>
        <w:rPr>
          <w:rFonts w:ascii="Consolas" w:cs="Consolas" w:eastAsia="Consolas" w:hAnsi="Consolas"/>
          <w:sz w:val="15"/>
          <w:szCs w:val="15"/>
        </w:rPr>
        <w:t xml:space="preserve">                         |                                      |  |</w:t>
      </w:r>
    </w:p>
    <w:p>
      <w:pPr>
        <w:spacing w:after="0" w:line="200"/>
      </w:pPr>
      <w:r>
        <w:rPr>
          <w:rFonts w:ascii="Consolas" w:cs="Consolas" w:eastAsia="Consolas" w:hAnsi="Consolas"/>
          <w:sz w:val="15"/>
          <w:szCs w:val="15"/>
        </w:rPr>
        <w:t xml:space="preserve">                         |  verae-staging (mirror; invented     |  |</w:t>
      </w:r>
    </w:p>
    <w:p>
      <w:pPr>
        <w:spacing w:after="0" w:line="200"/>
      </w:pPr>
      <w:r>
        <w:rPr>
          <w:rFonts w:ascii="Consolas" w:cs="Consolas" w:eastAsia="Consolas" w:hAnsi="Consolas"/>
          <w:sz w:val="15"/>
          <w:szCs w:val="15"/>
        </w:rPr>
        <w:t xml:space="preserve">                         |  test data only, container DB)       |  |</w:t>
      </w:r>
    </w:p>
    <w:p>
      <w:pPr>
        <w:spacing w:after="0" w:line="200"/>
      </w:pPr>
      <w:r>
        <w:rPr>
          <w:rFonts w:ascii="Consolas" w:cs="Consolas" w:eastAsia="Consolas" w:hAnsi="Consolas"/>
          <w:sz w:val="15"/>
          <w:szCs w:val="15"/>
        </w:rPr>
        <w:t xml:space="preserve">                         +--------------------------------------+  |</w:t>
      </w:r>
    </w:p>
    <w:p>
      <w:pPr>
        <w:spacing w:after="0" w:line="200"/>
      </w:pPr>
      <w:r>
        <w:rPr>
          <w:rFonts w:ascii="Consolas" w:cs="Consolas" w:eastAsia="Consolas" w:hAnsi="Consolas"/>
          <w:sz w:val="15"/>
          <w:szCs w:val="15"/>
        </w:rPr>
        <w:t xml:space="preserve">   DNS: Porkbun  ------------------------------------------------- +</w:t>
      </w:r>
    </w:p>
    <w:p>
      <w:pPr>
        <w:spacing w:after="0" w:line="200"/>
      </w:pPr>
      <w:r>
        <w:rPr>
          <w:rFonts w:ascii="Consolas" w:cs="Consolas" w:eastAsia="Consolas" w:hAnsi="Consolas"/>
          <w:sz w:val="15"/>
          <w:szCs w:val="15"/>
        </w:rPr>
        <w:t xml:space="preserve">   Email: Resend (transactional SMTP)</w:t>
      </w:r>
    </w:p>
    <w:p>
      <w:pPr>
        <w:spacing w:after="120"/>
      </w:pPr>
    </w:p>
    <w:p>
      <w:pPr>
        <w:pStyle w:val="Heading2"/>
        <w:spacing w:after="100" w:before="220"/>
      </w:pPr>
      <w:r>
        <w:rPr>
          <w:b/>
          <w:bCs/>
          <w:color w:val="1F3A34"/>
        </w:rPr>
        <w:t xml:space="preserve">2.2  Environments</w:t>
      </w:r>
    </w:p>
    <w:tbl>
      <w:tblPr>
        <w:tblW w:type="dxa" w:w="9360"/>
        <w:tblBorders>
          <w:top w:val="single" w:color="C9D6D2" w:sz="2"/>
          <w:left w:val="single" w:color="C9D6D2" w:sz="2"/>
          <w:bottom w:val="single" w:color="C9D6D2" w:sz="2"/>
          <w:right w:val="single" w:color="C9D6D2" w:sz="2"/>
          <w:insideH w:val="single" w:color="DCE5E2" w:sz="1"/>
          <w:insideV w:val="single" w:color="DCE5E2" w:sz="1"/>
        </w:tblBorders>
      </w:tblPr>
      <w:tblGrid>
        <w:gridCol w:w="1500"/>
        <w:gridCol w:w="1600"/>
        <w:gridCol w:w="2260"/>
        <w:gridCol w:w="2200"/>
        <w:gridCol w:w="1800"/>
      </w:tblGrid>
      <w:tr>
        <w:trPr>
          <w:tblHeader/>
        </w:trPr>
        <w:tc>
          <w:tcPr>
            <w:tcW w:type="dxa" w:w="1500"/>
            <w:shd w:fill="1F3A34" w:color="auto" w:val="clear"/>
            <w:tcMar>
              <w:top w:type="dxa" w:w="60"/>
              <w:left w:type="dxa" w:w="100"/>
              <w:bottom w:type="dxa" w:w="60"/>
              <w:right w:type="dxa" w:w="100"/>
            </w:tcMar>
          </w:tcPr>
          <w:p>
            <w:pPr>
              <w:jc w:val="left"/>
            </w:pPr>
            <w:r>
              <w:rPr>
                <w:b/>
                <w:bCs/>
                <w:color w:val="FFFFFF"/>
                <w:sz w:val="20"/>
                <w:szCs w:val="20"/>
              </w:rPr>
              <w:t xml:space="preserve">Environment</w:t>
            </w:r>
          </w:p>
        </w:tc>
        <w:tc>
          <w:tcPr>
            <w:tcW w:type="dxa" w:w="1600"/>
            <w:shd w:fill="1F3A34" w:color="auto" w:val="clear"/>
            <w:tcMar>
              <w:top w:type="dxa" w:w="60"/>
              <w:left w:type="dxa" w:w="100"/>
              <w:bottom w:type="dxa" w:w="60"/>
              <w:right w:type="dxa" w:w="100"/>
            </w:tcMar>
          </w:tcPr>
          <w:p>
            <w:pPr>
              <w:jc w:val="left"/>
            </w:pPr>
            <w:r>
              <w:rPr>
                <w:b/>
                <w:bCs/>
                <w:color w:val="FFFFFF"/>
                <w:sz w:val="20"/>
                <w:szCs w:val="20"/>
              </w:rPr>
              <w:t xml:space="preserve">Instance</w:t>
            </w:r>
          </w:p>
        </w:tc>
        <w:tc>
          <w:tcPr>
            <w:tcW w:type="dxa" w:w="2260"/>
            <w:shd w:fill="1F3A34" w:color="auto" w:val="clear"/>
            <w:tcMar>
              <w:top w:type="dxa" w:w="60"/>
              <w:left w:type="dxa" w:w="100"/>
              <w:bottom w:type="dxa" w:w="60"/>
              <w:right w:type="dxa" w:w="100"/>
            </w:tcMar>
          </w:tcPr>
          <w:p>
            <w:pPr>
              <w:jc w:val="left"/>
            </w:pPr>
            <w:r>
              <w:rPr>
                <w:b/>
                <w:bCs/>
                <w:color w:val="FFFFFF"/>
                <w:sz w:val="20"/>
                <w:szCs w:val="20"/>
              </w:rPr>
              <w:t xml:space="preserve">Public hostname</w:t>
            </w:r>
          </w:p>
        </w:tc>
        <w:tc>
          <w:tcPr>
            <w:tcW w:type="dxa" w:w="2200"/>
            <w:shd w:fill="1F3A34" w:color="auto" w:val="clear"/>
            <w:tcMar>
              <w:top w:type="dxa" w:w="60"/>
              <w:left w:type="dxa" w:w="100"/>
              <w:bottom w:type="dxa" w:w="60"/>
              <w:right w:type="dxa" w:w="100"/>
            </w:tcMar>
          </w:tcPr>
          <w:p>
            <w:pPr>
              <w:jc w:val="left"/>
            </w:pPr>
            <w:r>
              <w:rPr>
                <w:b/>
                <w:bCs/>
                <w:color w:val="FFFFFF"/>
                <w:sz w:val="20"/>
                <w:szCs w:val="20"/>
              </w:rPr>
              <w:t xml:space="preserve">Database</w:t>
            </w:r>
          </w:p>
        </w:tc>
        <w:tc>
          <w:tcPr>
            <w:tcW w:type="dxa" w:w="1800"/>
            <w:shd w:fill="1F3A34" w:color="auto" w:val="clear"/>
            <w:tcMar>
              <w:top w:type="dxa" w:w="60"/>
              <w:left w:type="dxa" w:w="100"/>
              <w:bottom w:type="dxa" w:w="60"/>
              <w:right w:type="dxa" w:w="100"/>
            </w:tcMar>
          </w:tcPr>
          <w:p>
            <w:pPr>
              <w:jc w:val="left"/>
            </w:pPr>
            <w:r>
              <w:rPr>
                <w:b/>
                <w:bCs/>
                <w:color w:val="FFFFFF"/>
                <w:sz w:val="20"/>
                <w:szCs w:val="20"/>
              </w:rPr>
              <w:t xml:space="preserve">Data</w:t>
            </w:r>
          </w:p>
        </w:tc>
      </w:tr>
      <w:tr>
        <w:tc>
          <w:tcPr>
            <w:tcW w:type="dxa" w:w="1500"/>
            <w:tcMar>
              <w:top w:type="dxa" w:w="60"/>
              <w:left w:type="dxa" w:w="100"/>
              <w:bottom w:type="dxa" w:w="60"/>
              <w:right w:type="dxa" w:w="100"/>
            </w:tcMar>
          </w:tcPr>
          <w:p>
            <w:pPr>
              <w:jc w:val="left"/>
            </w:pPr>
            <w:r>
              <w:rPr>
                <w:b/>
                <w:bCs/>
                <w:sz w:val="20"/>
                <w:szCs w:val="20"/>
              </w:rPr>
              <w:t xml:space="preserve">Production</w:t>
            </w:r>
          </w:p>
        </w:tc>
        <w:tc>
          <w:tcPr>
            <w:tcW w:type="dxa" w:w="1600"/>
            <w:tcMar>
              <w:top w:type="dxa" w:w="60"/>
              <w:left w:type="dxa" w:w="100"/>
              <w:bottom w:type="dxa" w:w="60"/>
              <w:right w:type="dxa" w:w="100"/>
            </w:tcMar>
          </w:tcPr>
          <w:p>
            <w:pPr>
              <w:jc w:val="left"/>
            </w:pPr>
            <w:r>
              <w:rPr>
                <w:b w:val="false"/>
                <w:bCs w:val="false"/>
                <w:sz w:val="20"/>
                <w:szCs w:val="20"/>
              </w:rPr>
              <w:t xml:space="preserve">verae-prod</w:t>
            </w:r>
          </w:p>
        </w:tc>
        <w:tc>
          <w:tcPr>
            <w:tcW w:type="dxa" w:w="2260"/>
            <w:tcMar>
              <w:top w:type="dxa" w:w="60"/>
              <w:left w:type="dxa" w:w="100"/>
              <w:bottom w:type="dxa" w:w="60"/>
              <w:right w:type="dxa" w:w="100"/>
            </w:tcMar>
          </w:tcPr>
          <w:p>
            <w:pPr>
              <w:jc w:val="left"/>
            </w:pPr>
            <w:r>
              <w:rPr>
                <w:b w:val="false"/>
                <w:bCs w:val="false"/>
                <w:sz w:val="20"/>
                <w:szCs w:val="20"/>
              </w:rPr>
              <w:t xml:space="preserve">api.veraehealth.com</w:t>
            </w:r>
          </w:p>
        </w:tc>
        <w:tc>
          <w:tcPr>
            <w:tcW w:type="dxa" w:w="2200"/>
            <w:tcMar>
              <w:top w:type="dxa" w:w="60"/>
              <w:left w:type="dxa" w:w="100"/>
              <w:bottom w:type="dxa" w:w="60"/>
              <w:right w:type="dxa" w:w="100"/>
            </w:tcMar>
          </w:tcPr>
          <w:p>
            <w:pPr>
              <w:jc w:val="left"/>
            </w:pPr>
            <w:r>
              <w:rPr>
                <w:b w:val="false"/>
                <w:bCs w:val="false"/>
                <w:sz w:val="20"/>
                <w:szCs w:val="20"/>
              </w:rPr>
              <w:t xml:space="preserve">Lightsail managed PostgreSQL (verae-prod-db)</w:t>
            </w:r>
          </w:p>
        </w:tc>
        <w:tc>
          <w:tcPr>
            <w:tcW w:type="dxa" w:w="1800"/>
            <w:tcMar>
              <w:top w:type="dxa" w:w="60"/>
              <w:left w:type="dxa" w:w="100"/>
              <w:bottom w:type="dxa" w:w="60"/>
              <w:right w:type="dxa" w:w="100"/>
            </w:tcMar>
          </w:tcPr>
          <w:p>
            <w:pPr>
              <w:jc w:val="left"/>
            </w:pPr>
            <w:r>
              <w:rPr>
                <w:b w:val="false"/>
                <w:bCs w:val="false"/>
                <w:sz w:val="20"/>
                <w:szCs w:val="20"/>
              </w:rPr>
              <w:t xml:space="preserve">Real patient data (PHI)</w:t>
            </w:r>
          </w:p>
        </w:tc>
      </w:tr>
      <w:tr>
        <w:tc>
          <w:tcPr>
            <w:tcW w:type="dxa" w:w="1500"/>
            <w:shd w:fill="F4F7F6" w:color="auto" w:val="clear"/>
            <w:tcMar>
              <w:top w:type="dxa" w:w="60"/>
              <w:left w:type="dxa" w:w="100"/>
              <w:bottom w:type="dxa" w:w="60"/>
              <w:right w:type="dxa" w:w="100"/>
            </w:tcMar>
          </w:tcPr>
          <w:p>
            <w:pPr>
              <w:jc w:val="left"/>
            </w:pPr>
            <w:r>
              <w:rPr>
                <w:b/>
                <w:bCs/>
                <w:sz w:val="20"/>
                <w:szCs w:val="20"/>
              </w:rPr>
              <w:t xml:space="preserve">Staging / UAT</w:t>
            </w:r>
          </w:p>
        </w:tc>
        <w:tc>
          <w:tcPr>
            <w:tcW w:type="dxa" w:w="1600"/>
            <w:shd w:fill="F4F7F6" w:color="auto" w:val="clear"/>
            <w:tcMar>
              <w:top w:type="dxa" w:w="60"/>
              <w:left w:type="dxa" w:w="100"/>
              <w:bottom w:type="dxa" w:w="60"/>
              <w:right w:type="dxa" w:w="100"/>
            </w:tcMar>
          </w:tcPr>
          <w:p>
            <w:pPr>
              <w:jc w:val="left"/>
            </w:pPr>
            <w:r>
              <w:rPr>
                <w:b w:val="false"/>
                <w:bCs w:val="false"/>
                <w:sz w:val="20"/>
                <w:szCs w:val="20"/>
              </w:rPr>
              <w:t xml:space="preserve">verae-staging</w:t>
            </w:r>
          </w:p>
        </w:tc>
        <w:tc>
          <w:tcPr>
            <w:tcW w:type="dxa" w:w="2260"/>
            <w:shd w:fill="F4F7F6" w:color="auto" w:val="clear"/>
            <w:tcMar>
              <w:top w:type="dxa" w:w="60"/>
              <w:left w:type="dxa" w:w="100"/>
              <w:bottom w:type="dxa" w:w="60"/>
              <w:right w:type="dxa" w:w="100"/>
            </w:tcMar>
          </w:tcPr>
          <w:p>
            <w:pPr>
              <w:jc w:val="left"/>
            </w:pPr>
            <w:r>
              <w:rPr>
                <w:b w:val="false"/>
                <w:bCs w:val="false"/>
                <w:sz w:val="20"/>
                <w:szCs w:val="20"/>
              </w:rPr>
              <w:t xml:space="preserve">api-uat.veraehealth.com</w:t>
            </w:r>
          </w:p>
        </w:tc>
        <w:tc>
          <w:tcPr>
            <w:tcW w:type="dxa" w:w="2200"/>
            <w:shd w:fill="F4F7F6" w:color="auto" w:val="clear"/>
            <w:tcMar>
              <w:top w:type="dxa" w:w="60"/>
              <w:left w:type="dxa" w:w="100"/>
              <w:bottom w:type="dxa" w:w="60"/>
              <w:right w:type="dxa" w:w="100"/>
            </w:tcMar>
          </w:tcPr>
          <w:p>
            <w:pPr>
              <w:jc w:val="left"/>
            </w:pPr>
            <w:r>
              <w:rPr>
                <w:b w:val="false"/>
                <w:bCs w:val="false"/>
                <w:sz w:val="20"/>
                <w:szCs w:val="20"/>
              </w:rPr>
              <w:t xml:space="preserve">PostgreSQL container on the instance</w:t>
            </w:r>
          </w:p>
        </w:tc>
        <w:tc>
          <w:tcPr>
            <w:tcW w:type="dxa" w:w="1800"/>
            <w:shd w:fill="F4F7F6" w:color="auto" w:val="clear"/>
            <w:tcMar>
              <w:top w:type="dxa" w:w="60"/>
              <w:left w:type="dxa" w:w="100"/>
              <w:bottom w:type="dxa" w:w="60"/>
              <w:right w:type="dxa" w:w="100"/>
            </w:tcMar>
          </w:tcPr>
          <w:p>
            <w:pPr>
              <w:jc w:val="left"/>
            </w:pPr>
            <w:r>
              <w:rPr>
                <w:b w:val="false"/>
                <w:bCs w:val="false"/>
                <w:sz w:val="20"/>
                <w:szCs w:val="20"/>
              </w:rPr>
              <w:t xml:space="preserve">Invented test data only — never real data</w:t>
            </w:r>
          </w:p>
        </w:tc>
      </w:tr>
    </w:tbl>
    <w:p>
      <w:pPr>
        <w:spacing w:after="120"/>
      </w:pPr>
    </w:p>
    <w:p>
      <w:pPr>
        <w:spacing w:after="120" w:line="276"/>
      </w:pPr>
      <w:r>
        <w:t xml:space="preserve">The frontend (marketing site + member portal) is hosted on Vercel and is out of scope for the MSP (see §8). Production portal: app.veraehealth.com; staging portal: app-uat.veraehealth.com.</w:t>
      </w:r>
    </w:p>
    <w:p>
      <w:pPr>
        <w:pStyle w:val="Heading2"/>
        <w:spacing w:after="100" w:before="220"/>
      </w:pPr>
      <w:r>
        <w:rPr>
          <w:b/>
          <w:bCs/>
          <w:color w:val="1F3A34"/>
        </w:rPr>
        <w:t xml:space="preserve">2.3  Compute footprint (per environment)</w:t>
      </w:r>
    </w:p>
    <w:p>
      <w:pPr>
        <w:spacing w:after="120" w:line="276"/>
      </w:pPr>
      <w:r>
        <w:t xml:space="preserve">Each instance is a single 2 GB RAM / Ubuntu 24.04 Lightsail VM running a Docker Compose stack:</w:t>
      </w:r>
    </w:p>
    <w:tbl>
      <w:tblPr>
        <w:tblW w:type="dxa" w:w="9360"/>
        <w:tblBorders>
          <w:top w:val="single" w:color="C9D6D2" w:sz="2"/>
          <w:left w:val="single" w:color="C9D6D2" w:sz="2"/>
          <w:bottom w:val="single" w:color="C9D6D2" w:sz="2"/>
          <w:right w:val="single" w:color="C9D6D2" w:sz="2"/>
          <w:insideH w:val="single" w:color="DCE5E2" w:sz="1"/>
          <w:insideV w:val="single" w:color="DCE5E2" w:sz="1"/>
        </w:tblBorders>
      </w:tblPr>
      <w:tblGrid>
        <w:gridCol w:w="2400"/>
        <w:gridCol w:w="6960"/>
      </w:tblGrid>
      <w:tr>
        <w:trPr>
          <w:tblHeader/>
        </w:trPr>
        <w:tc>
          <w:tcPr>
            <w:tcW w:type="dxa" w:w="2400"/>
            <w:shd w:fill="1F3A34" w:color="auto" w:val="clear"/>
            <w:tcMar>
              <w:top w:type="dxa" w:w="60"/>
              <w:left w:type="dxa" w:w="100"/>
              <w:bottom w:type="dxa" w:w="60"/>
              <w:right w:type="dxa" w:w="100"/>
            </w:tcMar>
          </w:tcPr>
          <w:p>
            <w:pPr>
              <w:jc w:val="left"/>
            </w:pPr>
            <w:r>
              <w:rPr>
                <w:b/>
                <w:bCs/>
                <w:color w:val="FFFFFF"/>
                <w:sz w:val="20"/>
                <w:szCs w:val="20"/>
              </w:rPr>
              <w:t xml:space="preserve">Container</w:t>
            </w:r>
          </w:p>
        </w:tc>
        <w:tc>
          <w:tcPr>
            <w:tcW w:type="dxa" w:w="6960"/>
            <w:shd w:fill="1F3A34" w:color="auto" w:val="clear"/>
            <w:tcMar>
              <w:top w:type="dxa" w:w="60"/>
              <w:left w:type="dxa" w:w="100"/>
              <w:bottom w:type="dxa" w:w="60"/>
              <w:right w:type="dxa" w:w="100"/>
            </w:tcMar>
          </w:tcPr>
          <w:p>
            <w:pPr>
              <w:jc w:val="left"/>
            </w:pPr>
            <w:r>
              <w:rPr>
                <w:b/>
                <w:bCs/>
                <w:color w:val="FFFFFF"/>
                <w:sz w:val="20"/>
                <w:szCs w:val="20"/>
              </w:rPr>
              <w:t xml:space="preserve">Role</w:t>
            </w:r>
          </w:p>
        </w:tc>
      </w:tr>
      <w:tr>
        <w:tc>
          <w:tcPr>
            <w:tcW w:type="dxa" w:w="2400"/>
            <w:tcMar>
              <w:top w:type="dxa" w:w="60"/>
              <w:left w:type="dxa" w:w="100"/>
              <w:bottom w:type="dxa" w:w="60"/>
              <w:right w:type="dxa" w:w="100"/>
            </w:tcMar>
          </w:tcPr>
          <w:p>
            <w:pPr>
              <w:jc w:val="left"/>
            </w:pPr>
            <w:r>
              <w:rPr>
                <w:b/>
                <w:bCs/>
                <w:sz w:val="20"/>
                <w:szCs w:val="20"/>
              </w:rPr>
              <w:t xml:space="preserve">Caddy</w:t>
            </w:r>
          </w:p>
        </w:tc>
        <w:tc>
          <w:tcPr>
            <w:tcW w:type="dxa" w:w="6960"/>
            <w:tcMar>
              <w:top w:type="dxa" w:w="60"/>
              <w:left w:type="dxa" w:w="100"/>
              <w:bottom w:type="dxa" w:w="60"/>
              <w:right w:type="dxa" w:w="100"/>
            </w:tcMar>
          </w:tcPr>
          <w:p>
            <w:pPr>
              <w:jc w:val="left"/>
            </w:pPr>
            <w:r>
              <w:rPr>
                <w:b w:val="false"/>
                <w:bCs w:val="false"/>
                <w:sz w:val="20"/>
                <w:szCs w:val="20"/>
              </w:rPr>
              <w:t xml:space="preserve">Reverse proxy; automatic Let's Encrypt TLS; security headers (HSTS)</w:t>
            </w:r>
          </w:p>
        </w:tc>
      </w:tr>
      <w:tr>
        <w:tc>
          <w:tcPr>
            <w:tcW w:type="dxa" w:w="2400"/>
            <w:shd w:fill="F4F7F6" w:color="auto" w:val="clear"/>
            <w:tcMar>
              <w:top w:type="dxa" w:w="60"/>
              <w:left w:type="dxa" w:w="100"/>
              <w:bottom w:type="dxa" w:w="60"/>
              <w:right w:type="dxa" w:w="100"/>
            </w:tcMar>
          </w:tcPr>
          <w:p>
            <w:pPr>
              <w:jc w:val="left"/>
            </w:pPr>
            <w:r>
              <w:rPr>
                <w:b/>
                <w:bCs/>
                <w:sz w:val="20"/>
                <w:szCs w:val="20"/>
              </w:rPr>
              <w:t xml:space="preserve">API</w:t>
            </w:r>
          </w:p>
        </w:tc>
        <w:tc>
          <w:tcPr>
            <w:tcW w:type="dxa" w:w="6960"/>
            <w:shd w:fill="F4F7F6" w:color="auto" w:val="clear"/>
            <w:tcMar>
              <w:top w:type="dxa" w:w="60"/>
              <w:left w:type="dxa" w:w="100"/>
              <w:bottom w:type="dxa" w:w="60"/>
              <w:right w:type="dxa" w:w="100"/>
            </w:tcMar>
          </w:tcPr>
          <w:p>
            <w:pPr>
              <w:jc w:val="left"/>
            </w:pPr>
            <w:r>
              <w:rPr>
                <w:b w:val="false"/>
                <w:bCs w:val="false"/>
                <w:sz w:val="20"/>
                <w:szCs w:val="20"/>
              </w:rPr>
              <w:t xml:space="preserve">Node.js 24 / Fastify HTTP API</w:t>
            </w:r>
          </w:p>
        </w:tc>
      </w:tr>
      <w:tr>
        <w:tc>
          <w:tcPr>
            <w:tcW w:type="dxa" w:w="2400"/>
            <w:tcMar>
              <w:top w:type="dxa" w:w="60"/>
              <w:left w:type="dxa" w:w="100"/>
              <w:bottom w:type="dxa" w:w="60"/>
              <w:right w:type="dxa" w:w="100"/>
            </w:tcMar>
          </w:tcPr>
          <w:p>
            <w:pPr>
              <w:jc w:val="left"/>
            </w:pPr>
            <w:r>
              <w:rPr>
                <w:b/>
                <w:bCs/>
                <w:sz w:val="20"/>
                <w:szCs w:val="20"/>
              </w:rPr>
              <w:t xml:space="preserve">Worker</w:t>
            </w:r>
          </w:p>
        </w:tc>
        <w:tc>
          <w:tcPr>
            <w:tcW w:type="dxa" w:w="6960"/>
            <w:tcMar>
              <w:top w:type="dxa" w:w="60"/>
              <w:left w:type="dxa" w:w="100"/>
              <w:bottom w:type="dxa" w:w="60"/>
              <w:right w:type="dxa" w:w="100"/>
            </w:tcMar>
          </w:tcPr>
          <w:p>
            <w:pPr>
              <w:jc w:val="left"/>
            </w:pPr>
            <w:r>
              <w:rPr>
                <w:b w:val="false"/>
                <w:bCs w:val="false"/>
                <w:sz w:val="20"/>
                <w:szCs w:val="20"/>
              </w:rPr>
              <w:t xml:space="preserve">Background job processor (lab-result ingestion, document malware scanning)</w:t>
            </w:r>
          </w:p>
        </w:tc>
      </w:tr>
      <w:tr>
        <w:tc>
          <w:tcPr>
            <w:tcW w:type="dxa" w:w="2400"/>
            <w:shd w:fill="F4F7F6" w:color="auto" w:val="clear"/>
            <w:tcMar>
              <w:top w:type="dxa" w:w="60"/>
              <w:left w:type="dxa" w:w="100"/>
              <w:bottom w:type="dxa" w:w="60"/>
              <w:right w:type="dxa" w:w="100"/>
            </w:tcMar>
          </w:tcPr>
          <w:p>
            <w:pPr>
              <w:jc w:val="left"/>
            </w:pPr>
            <w:r>
              <w:rPr>
                <w:b/>
                <w:bCs/>
                <w:sz w:val="20"/>
                <w:szCs w:val="20"/>
              </w:rPr>
              <w:t xml:space="preserve">ClamAV</w:t>
            </w:r>
          </w:p>
        </w:tc>
        <w:tc>
          <w:tcPr>
            <w:tcW w:type="dxa" w:w="6960"/>
            <w:shd w:fill="F4F7F6" w:color="auto" w:val="clear"/>
            <w:tcMar>
              <w:top w:type="dxa" w:w="60"/>
              <w:left w:type="dxa" w:w="100"/>
              <w:bottom w:type="dxa" w:w="60"/>
              <w:right w:type="dxa" w:w="100"/>
            </w:tcMar>
          </w:tcPr>
          <w:p>
            <w:pPr>
              <w:jc w:val="left"/>
            </w:pPr>
            <w:r>
              <w:rPr>
                <w:b w:val="false"/>
                <w:bCs w:val="false"/>
                <w:sz w:val="20"/>
                <w:szCs w:val="20"/>
              </w:rPr>
              <w:t xml:space="preserve">On-instance antivirus scanning every uploaded document</w:t>
            </w:r>
          </w:p>
        </w:tc>
      </w:tr>
      <w:tr>
        <w:tc>
          <w:tcPr>
            <w:tcW w:type="dxa" w:w="2400"/>
            <w:tcMar>
              <w:top w:type="dxa" w:w="60"/>
              <w:left w:type="dxa" w:w="100"/>
              <w:bottom w:type="dxa" w:w="60"/>
              <w:right w:type="dxa" w:w="100"/>
            </w:tcMar>
          </w:tcPr>
          <w:p>
            <w:pPr>
              <w:jc w:val="left"/>
            </w:pPr>
            <w:r>
              <w:rPr>
                <w:b/>
                <w:bCs/>
                <w:sz w:val="20"/>
                <w:szCs w:val="20"/>
              </w:rPr>
              <w:t xml:space="preserve">PostgreSQL</w:t>
            </w:r>
          </w:p>
        </w:tc>
        <w:tc>
          <w:tcPr>
            <w:tcW w:type="dxa" w:w="6960"/>
            <w:tcMar>
              <w:top w:type="dxa" w:w="60"/>
              <w:left w:type="dxa" w:w="100"/>
              <w:bottom w:type="dxa" w:w="60"/>
              <w:right w:type="dxa" w:w="100"/>
            </w:tcMar>
          </w:tcPr>
          <w:p>
            <w:pPr>
              <w:jc w:val="left"/>
            </w:pPr>
            <w:r>
              <w:rPr>
                <w:b w:val="false"/>
                <w:bCs w:val="false"/>
                <w:sz w:val="20"/>
                <w:szCs w:val="20"/>
              </w:rPr>
              <w:t xml:space="preserve">Staging only (production uses the managed database)</w:t>
            </w:r>
          </w:p>
        </w:tc>
      </w:tr>
    </w:tbl>
    <w:p>
      <w:pPr>
        <w:spacing w:after="120"/>
      </w:pPr>
    </w:p>
    <w:p>
      <w:pPr>
        <w:pStyle w:val="Heading2"/>
        <w:spacing w:after="100" w:before="220"/>
      </w:pPr>
      <w:r>
        <w:rPr>
          <w:b/>
          <w:bCs/>
          <w:color w:val="1F3A34"/>
        </w:rPr>
        <w:t xml:space="preserve">2.4  Key technologies</w:t>
      </w:r>
    </w:p>
    <w:p>
      <w:pPr>
        <w:pStyle w:val="ListParagraph"/>
        <w:numPr>
          <w:ilvl w:val="0"/>
          <w:numId w:val="2"/>
        </w:numPr>
        <w:spacing w:after="60" w:line="264"/>
      </w:pPr>
      <w:r>
        <w:t xml:space="preserve">Runtime: Node.js 24 (Fastify 5), TypeScript, packaged as a Docker image.</w:t>
      </w:r>
    </w:p>
    <w:p>
      <w:pPr>
        <w:pStyle w:val="ListParagraph"/>
        <w:numPr>
          <w:ilvl w:val="0"/>
          <w:numId w:val="2"/>
        </w:numPr>
        <w:spacing w:after="60" w:line="264"/>
      </w:pPr>
      <w:r>
        <w:t xml:space="preserve">Authentication: email/password with verification, Google OAuth, TOTP two-factor for staff, CAPTCHA, account lockout, database-backed sessions.</w:t>
      </w:r>
    </w:p>
    <w:p>
      <w:pPr>
        <w:pStyle w:val="ListParagraph"/>
        <w:numPr>
          <w:ilvl w:val="0"/>
          <w:numId w:val="2"/>
        </w:numPr>
        <w:spacing w:after="60" w:line="264"/>
      </w:pPr>
      <w:r>
        <w:t xml:space="preserve">Database: PostgreSQL with four separate least-privilege application logins (api / auth / worker / jobs) plus a restricted admin login used only for migrations; row-level security enforces per-user data isolation.</w:t>
      </w:r>
    </w:p>
    <w:p>
      <w:pPr>
        <w:pStyle w:val="ListParagraph"/>
        <w:numPr>
          <w:ilvl w:val="0"/>
          <w:numId w:val="2"/>
        </w:numPr>
        <w:spacing w:after="60" w:line="264"/>
      </w:pPr>
      <w:r>
        <w:t xml:space="preserve">Background jobs: PostgreSQL-backed queue (pg-boss).</w:t>
      </w:r>
    </w:p>
    <w:p>
      <w:pPr>
        <w:pStyle w:val="ListParagraph"/>
        <w:numPr>
          <w:ilvl w:val="0"/>
          <w:numId w:val="2"/>
        </w:numPr>
        <w:spacing w:after="60" w:line="264"/>
      </w:pPr>
      <w:r>
        <w:t xml:space="preserve">Object storage: Lightsail S3-compatible buckets — documents (private, versioned) and backups; separate access keys per environment.</w:t>
      </w:r>
    </w:p>
    <w:p>
      <w:pPr>
        <w:pStyle w:val="ListParagraph"/>
        <w:numPr>
          <w:ilvl w:val="0"/>
          <w:numId w:val="2"/>
        </w:numPr>
        <w:spacing w:after="60" w:line="264"/>
      </w:pPr>
      <w:r>
        <w:t xml:space="preserve">Email: Resend (transactional SMTP) for verification and password-reset mail.</w:t>
      </w:r>
    </w:p>
    <w:p>
      <w:pPr>
        <w:pStyle w:val="ListParagraph"/>
        <w:numPr>
          <w:ilvl w:val="0"/>
          <w:numId w:val="2"/>
        </w:numPr>
        <w:spacing w:after="60" w:line="264"/>
      </w:pPr>
      <w:r>
        <w:t xml:space="preserve">Lab integrations: signed (HMAC) inbound webhooks from lab partners, processed idempotently by the worker.</w:t>
      </w:r>
    </w:p>
    <w:p>
      <w:pPr>
        <w:pStyle w:val="ListParagraph"/>
        <w:numPr>
          <w:ilvl w:val="0"/>
          <w:numId w:val="2"/>
        </w:numPr>
        <w:spacing w:after="60" w:line="264"/>
      </w:pPr>
      <w:r>
        <w:t xml:space="preserve">TLS everywhere: public HTTPS via Caddy/Let's Encrypt; database connections use full certificate verification against the AWS CA bundle.</w:t>
      </w:r>
    </w:p>
    <w:p>
      <w:pPr>
        <w:spacing w:after="120"/>
      </w:pPr>
    </w:p>
    <w:p>
      <w:pPr>
        <w:pStyle w:val="Heading2"/>
        <w:spacing w:after="100" w:before="220"/>
      </w:pPr>
      <w:r>
        <w:rPr>
          <w:b/>
          <w:bCs/>
          <w:color w:val="1F3A34"/>
        </w:rPr>
        <w:t xml:space="preserve">2.5  Indicative AWS resource cost (borne directly by Verae)</w:t>
      </w:r>
    </w:p>
    <w:p>
      <w:pPr>
        <w:spacing w:after="120" w:line="276"/>
      </w:pPr>
      <w:r>
        <w:t xml:space="preserve">For scale context only — the MSP does not pay these; they are billed to our AWS account. Approximate: 2× Lightsail instances, 1× managed database, 2× bucket sets, snapshots, and CloudWatch logs total roughly US$45–55 / month. This figure signals how small the estate is; please size your service accordingly.</w:t>
      </w:r>
    </w:p>
    <w:p>
      <w:pPr>
        <w:pStyle w:val="Heading1"/>
        <w:spacing w:after="140" w:before="320"/>
      </w:pPr>
      <w:r>
        <w:rPr>
          <w:b/>
          <w:bCs/>
          <w:color w:val="1F3A34"/>
        </w:rPr>
        <w:t xml:space="preserve">3. What is already in place (baseline the MSP inherits)</w:t>
      </w:r>
    </w:p>
    <w:p>
      <w:pPr>
        <w:spacing w:after="120" w:line="276"/>
      </w:pPr>
      <w:r>
        <w:t xml:space="preserve">The infrastructure has been built and security-hardened prior to handover. The MSP is taking over a working, documented system — not building from scratch.</w:t>
      </w:r>
    </w:p>
    <w:p>
      <w:pPr>
        <w:pStyle w:val="ListParagraph"/>
        <w:numPr>
          <w:ilvl w:val="0"/>
          <w:numId w:val="2"/>
        </w:numPr>
        <w:spacing w:after="60" w:line="264"/>
      </w:pPr>
      <w:r>
        <w:t xml:space="preserve">Production and staging fully separated (instances, databases, buckets, credentials); real data exists only in production.</w:t>
      </w:r>
    </w:p>
    <w:p>
      <w:pPr>
        <w:pStyle w:val="ListParagraph"/>
        <w:numPr>
          <w:ilvl w:val="0"/>
          <w:numId w:val="2"/>
        </w:numPr>
        <w:spacing w:after="60" w:line="264"/>
      </w:pPr>
      <w:r>
        <w:t xml:space="preserve">Managed database with automated daily backups and point-in-time recovery; public network access disabled (private endpoint only).</w:t>
      </w:r>
    </w:p>
    <w:p>
      <w:pPr>
        <w:pStyle w:val="ListParagraph"/>
        <w:numPr>
          <w:ilvl w:val="0"/>
          <w:numId w:val="2"/>
        </w:numPr>
        <w:spacing w:after="60" w:line="264"/>
      </w:pPr>
      <w:r>
        <w:t xml:space="preserve">SSH is key-only, root login disabled, and restricted by firewall to approved operator IP addresses (IPv4 and IPv6); never open to the world.</w:t>
      </w:r>
    </w:p>
    <w:p>
      <w:pPr>
        <w:pStyle w:val="ListParagraph"/>
        <w:numPr>
          <w:ilvl w:val="0"/>
          <w:numId w:val="2"/>
        </w:numPr>
        <w:spacing w:after="60" w:line="264"/>
      </w:pPr>
      <w:r>
        <w:t xml:space="preserve">Unattended security updates enabled on both instances.</w:t>
      </w:r>
    </w:p>
    <w:p>
      <w:pPr>
        <w:pStyle w:val="ListParagraph"/>
        <w:numPr>
          <w:ilvl w:val="0"/>
          <w:numId w:val="2"/>
        </w:numPr>
        <w:spacing w:after="60" w:line="264"/>
      </w:pPr>
      <w:r>
        <w:t xml:space="preserve">Document buckets private and versioned; account-level S3 public-access blocking enabled.</w:t>
      </w:r>
    </w:p>
    <w:p>
      <w:pPr>
        <w:pStyle w:val="ListParagraph"/>
        <w:numPr>
          <w:ilvl w:val="0"/>
          <w:numId w:val="2"/>
        </w:numPr>
        <w:spacing w:after="60" w:line="264"/>
      </w:pPr>
      <w:r>
        <w:t xml:space="preserve">Malware scanning (ClamAV) on every document upload.</w:t>
      </w:r>
    </w:p>
    <w:p>
      <w:pPr>
        <w:pStyle w:val="ListParagraph"/>
        <w:numPr>
          <w:ilvl w:val="0"/>
          <w:numId w:val="2"/>
        </w:numPr>
        <w:spacing w:after="60" w:line="264"/>
      </w:pPr>
      <w:r>
        <w:t xml:space="preserve">Centralised logging and instance disk/memory/CPU metrics via the CloudWatch agent; log retention configured.</w:t>
      </w:r>
    </w:p>
    <w:p>
      <w:pPr>
        <w:pStyle w:val="ListParagraph"/>
        <w:numPr>
          <w:ilvl w:val="0"/>
          <w:numId w:val="2"/>
        </w:numPr>
        <w:spacing w:after="60" w:line="264"/>
      </w:pPr>
      <w:r>
        <w:t xml:space="preserve">Full operational runbook, deployment tooling, and a launch/compliance checklist provided as part of handover.</w:t>
      </w:r>
    </w:p>
    <w:p>
      <w:pPr>
        <w:spacing w:after="120"/>
      </w:pPr>
    </w:p>
    <w:p>
      <w:pPr>
        <w:spacing w:after="120" w:line="276"/>
      </w:pPr>
      <w:r>
        <w:t xml:space="preserve">A detailed operations runbook (deployment, backup/restore, incident response, quarterly review checklist) will be provided to the selected MSP.</w:t>
      </w:r>
    </w:p>
    <w:p>
      <w:pPr>
        <w:pStyle w:val="Heading1"/>
        <w:spacing w:after="140" w:before="320"/>
      </w:pPr>
      <w:r>
        <w:rPr>
          <w:b/>
          <w:bCs/>
          <w:color w:val="1F3A34"/>
        </w:rPr>
        <w:t xml:space="preserve">4. Regulatory &amp; security requirements (mandatory)</w:t>
      </w:r>
    </w:p>
    <w:p>
      <w:pPr>
        <w:spacing w:after="120" w:line="276"/>
      </w:pPr>
      <w:r>
        <w:t xml:space="preserve">These are conditions of engagement. Any proposal must comply.</w:t>
      </w:r>
    </w:p>
    <w:p>
      <w:pPr>
        <w:pStyle w:val="ListParagraph"/>
        <w:numPr>
          <w:ilvl w:val="0"/>
          <w:numId w:val="3"/>
        </w:numPr>
        <w:spacing w:after="80" w:line="264"/>
      </w:pPr>
      <w:r>
        <w:t xml:space="preserve">Data residency — Malaysia. All production data (database, documents, backups, snapshots, logs containing any personal data) must remain in the AWS ap-southeast-5 (Malaysia) region. Data must not be copied, replicated, or restored outside this region, including for testing.</w:t>
      </w:r>
    </w:p>
    <w:p>
      <w:pPr>
        <w:pStyle w:val="ListParagraph"/>
        <w:numPr>
          <w:ilvl w:val="0"/>
          <w:numId w:val="3"/>
        </w:numPr>
        <w:spacing w:after="80" w:line="264"/>
      </w:pPr>
      <w:r>
        <w:t xml:space="preserve">PDPA compliance. We are subject to Malaysia's Personal Data Protection Act. The MSP acts as a data processor and must sign a Data Processing Agreement. Personal/health data may only be accessed to the minimum extent necessary to operate the service.</w:t>
      </w:r>
    </w:p>
    <w:p>
      <w:pPr>
        <w:pStyle w:val="ListParagraph"/>
        <w:numPr>
          <w:ilvl w:val="0"/>
          <w:numId w:val="3"/>
        </w:numPr>
        <w:spacing w:after="80" w:line="264"/>
      </w:pPr>
      <w:r>
        <w:t xml:space="preserve">Breach notification. Any suspected security incident or data breach must be reported to Verae without undue delay (target: within 24 hours of detection) so we can meet our regulatory notification obligations.</w:t>
      </w:r>
    </w:p>
    <w:p>
      <w:pPr>
        <w:pStyle w:val="ListParagraph"/>
        <w:numPr>
          <w:ilvl w:val="0"/>
          <w:numId w:val="3"/>
        </w:numPr>
        <w:spacing w:after="80" w:line="264"/>
      </w:pPr>
      <w:r>
        <w:t xml:space="preserve">Least-privilege, auditable access. MSP personnel access AWS through individual, named IAM identities (never our root account), each with multi-factor authentication and scoped permissions. Access must be logged/auditable and promptly revoked on personnel changes.</w:t>
      </w:r>
    </w:p>
    <w:p>
      <w:pPr>
        <w:pStyle w:val="ListParagraph"/>
        <w:numPr>
          <w:ilvl w:val="0"/>
          <w:numId w:val="3"/>
        </w:numPr>
        <w:spacing w:after="80" w:line="264"/>
      </w:pPr>
      <w:r>
        <w:t xml:space="preserve">No weakening of controls. The security posture in §3 must be maintained. Any change that reduces it (e.g. opening database public access, relaxing SSH restrictions, disabling TLS verification) is prohibited without our written approval.</w:t>
      </w:r>
    </w:p>
    <w:p>
      <w:pPr>
        <w:pStyle w:val="ListParagraph"/>
        <w:numPr>
          <w:ilvl w:val="0"/>
          <w:numId w:val="3"/>
        </w:numPr>
        <w:spacing w:after="80" w:line="264"/>
      </w:pPr>
      <w:r>
        <w:t xml:space="preserve">Personnel. Staff with access to production should be identifiable and, where practical, based within a jurisdiction compatible with our data-protection obligations. State in your proposal where your operational staff are located.</w:t>
      </w:r>
    </w:p>
    <w:p>
      <w:pPr>
        <w:pStyle w:val="Heading1"/>
        <w:spacing w:after="140" w:before="320"/>
      </w:pPr>
      <w:r>
        <w:rPr>
          <w:b/>
          <w:bCs/>
          <w:color w:val="1F3A34"/>
        </w:rPr>
        <w:t xml:space="preserve">5. Scope of Works — recurring managed services</w:t>
      </w:r>
    </w:p>
    <w:p>
      <w:pPr>
        <w:spacing w:after="120" w:line="276"/>
      </w:pPr>
      <w:r>
        <w:t xml:space="preserve">Please quote against the following service catalogue. Cadence shown is our expected minimum; propose alternatives if you can meet the outcome more efficiently.</w:t>
      </w:r>
    </w:p>
    <w:p>
      <w:pPr>
        <w:pStyle w:val="Heading2"/>
        <w:spacing w:after="100" w:before="220"/>
      </w:pPr>
      <w:r>
        <w:rPr>
          <w:b/>
          <w:bCs/>
          <w:color w:val="1F3A34"/>
        </w:rPr>
        <w:t xml:space="preserve">5.1  Monitoring &amp; alerting</w:t>
      </w:r>
    </w:p>
    <w:p>
      <w:pPr>
        <w:pStyle w:val="ListParagraph"/>
        <w:numPr>
          <w:ilvl w:val="0"/>
          <w:numId w:val="2"/>
        </w:numPr>
        <w:spacing w:after="60" w:line="264"/>
      </w:pPr>
      <w:r>
        <w:t xml:space="preserve">Maintain metric alarms on both instances and the managed database (CPU, disk usage, memory, burst capacity, database storage/connections).</w:t>
      </w:r>
    </w:p>
    <w:p>
      <w:pPr>
        <w:pStyle w:val="ListParagraph"/>
        <w:numPr>
          <w:ilvl w:val="0"/>
          <w:numId w:val="2"/>
        </w:numPr>
        <w:spacing w:after="60" w:line="264"/>
      </w:pPr>
      <w:r>
        <w:t xml:space="preserve">Maintain an external uptime check on the API health endpoints for both production and staging.</w:t>
      </w:r>
    </w:p>
    <w:p>
      <w:pPr>
        <w:pStyle w:val="ListParagraph"/>
        <w:numPr>
          <w:ilvl w:val="0"/>
          <w:numId w:val="2"/>
        </w:numPr>
        <w:spacing w:after="60" w:line="264"/>
      </w:pPr>
      <w:r>
        <w:t xml:space="preserve">Receive and triage alerts; acknowledge and act per the service levels in §6.</w:t>
      </w:r>
    </w:p>
    <w:p>
      <w:pPr>
        <w:pStyle w:val="Heading2"/>
        <w:spacing w:after="100" w:before="220"/>
      </w:pPr>
      <w:r>
        <w:rPr>
          <w:b/>
          <w:bCs/>
          <w:color w:val="1F3A34"/>
        </w:rPr>
        <w:t xml:space="preserve">5.2  Logging</w:t>
      </w:r>
    </w:p>
    <w:p>
      <w:pPr>
        <w:pStyle w:val="ListParagraph"/>
        <w:numPr>
          <w:ilvl w:val="0"/>
          <w:numId w:val="2"/>
        </w:numPr>
        <w:spacing w:after="60" w:line="264"/>
      </w:pPr>
      <w:r>
        <w:t xml:space="preserve">Ensure application and proxy logs continue to reach centralised, access-controlled storage (CloudWatch) with the agreed retention.</w:t>
      </w:r>
    </w:p>
    <w:p>
      <w:pPr>
        <w:pStyle w:val="ListParagraph"/>
        <w:numPr>
          <w:ilvl w:val="0"/>
          <w:numId w:val="2"/>
        </w:numPr>
        <w:spacing w:after="60" w:line="264"/>
      </w:pPr>
      <w:r>
        <w:t xml:space="preserve">Confirm logs remain free of personal data / secrets (redaction is implemented in the app; the MSP verifies the pipeline stays healthy).</w:t>
      </w:r>
    </w:p>
    <w:p>
      <w:pPr>
        <w:pStyle w:val="Heading2"/>
        <w:spacing w:after="100" w:before="220"/>
      </w:pPr>
      <w:r>
        <w:rPr>
          <w:b/>
          <w:bCs/>
          <w:color w:val="1F3A34"/>
        </w:rPr>
        <w:t xml:space="preserve">5.3  Patching &amp; updates</w:t>
      </w:r>
    </w:p>
    <w:p>
      <w:pPr>
        <w:pStyle w:val="ListParagraph"/>
        <w:numPr>
          <w:ilvl w:val="0"/>
          <w:numId w:val="2"/>
        </w:numPr>
        <w:spacing w:after="60" w:line="264"/>
      </w:pPr>
      <w:r>
        <w:t xml:space="preserve">Verify unattended OS security updates are applying.</w:t>
      </w:r>
    </w:p>
    <w:p>
      <w:pPr>
        <w:pStyle w:val="ListParagraph"/>
        <w:numPr>
          <w:ilvl w:val="0"/>
          <w:numId w:val="2"/>
        </w:numPr>
        <w:spacing w:after="60" w:line="264"/>
      </w:pPr>
      <w:r>
        <w:t xml:space="preserve">Monthly: apply full OS package upgrades, refresh container base images, and reboot each instance within an agreed maintenance window (staging first, then production).</w:t>
      </w:r>
    </w:p>
    <w:p>
      <w:pPr>
        <w:pStyle w:val="ListParagraph"/>
        <w:numPr>
          <w:ilvl w:val="0"/>
          <w:numId w:val="2"/>
        </w:numPr>
        <w:spacing w:after="60" w:line="264"/>
      </w:pPr>
      <w:r>
        <w:t xml:space="preserve">Track the managed database's maintenance-window patching.</w:t>
      </w:r>
    </w:p>
    <w:p>
      <w:pPr>
        <w:pStyle w:val="Heading2"/>
        <w:spacing w:after="100" w:before="220"/>
      </w:pPr>
      <w:r>
        <w:rPr>
          <w:b/>
          <w:bCs/>
          <w:color w:val="1F3A34"/>
        </w:rPr>
        <w:t xml:space="preserve">5.4  Backups &amp; disaster recovery</w:t>
      </w:r>
    </w:p>
    <w:p>
      <w:pPr>
        <w:pStyle w:val="ListParagraph"/>
        <w:numPr>
          <w:ilvl w:val="0"/>
          <w:numId w:val="2"/>
        </w:numPr>
        <w:spacing w:after="60" w:line="264"/>
      </w:pPr>
      <w:r>
        <w:t xml:space="preserve">Confirm managed-database automated backups and point-in-time recovery remain enabled.</w:t>
      </w:r>
    </w:p>
    <w:p>
      <w:pPr>
        <w:pStyle w:val="ListParagraph"/>
        <w:numPr>
          <w:ilvl w:val="0"/>
          <w:numId w:val="2"/>
        </w:numPr>
        <w:spacing w:after="60" w:line="264"/>
      </w:pPr>
      <w:r>
        <w:t xml:space="preserve">Take a manual database snapshot before every production change/migration.</w:t>
      </w:r>
    </w:p>
    <w:p>
      <w:pPr>
        <w:pStyle w:val="ListParagraph"/>
        <w:numPr>
          <w:ilvl w:val="0"/>
          <w:numId w:val="2"/>
        </w:numPr>
        <w:spacing w:after="60" w:line="264"/>
      </w:pPr>
      <w:r>
        <w:t xml:space="preserve">Maintain automatic instance snapshots and document-bucket versioning.</w:t>
      </w:r>
    </w:p>
    <w:p>
      <w:pPr>
        <w:pStyle w:val="ListParagraph"/>
        <w:numPr>
          <w:ilvl w:val="0"/>
          <w:numId w:val="2"/>
        </w:numPr>
        <w:spacing w:after="60" w:line="264"/>
      </w:pPr>
      <w:r>
        <w:t xml:space="preserve">Quarterly DR test: restore the latest database snapshot and a deleted-document version into an isolated temporary environment in the Malaysia region, verify integrity, tear it down, and record measured recovery point/time. Target: RPO ≤ 1 hour, RTO ≤ 4 hours.</w:t>
      </w:r>
    </w:p>
    <w:p>
      <w:pPr>
        <w:pStyle w:val="Heading2"/>
        <w:spacing w:after="100" w:before="220"/>
      </w:pPr>
      <w:r>
        <w:rPr>
          <w:b/>
          <w:bCs/>
          <w:color w:val="1F3A34"/>
        </w:rPr>
        <w:t xml:space="preserve">5.5  Security operations</w:t>
      </w:r>
    </w:p>
    <w:p>
      <w:pPr>
        <w:pStyle w:val="ListParagraph"/>
        <w:numPr>
          <w:ilvl w:val="0"/>
          <w:numId w:val="2"/>
        </w:numPr>
        <w:spacing w:after="60" w:line="264"/>
      </w:pPr>
      <w:r>
        <w:t xml:space="preserve">Maintain SSH firewall allow-lists and key-only access.</w:t>
      </w:r>
    </w:p>
    <w:p>
      <w:pPr>
        <w:pStyle w:val="ListParagraph"/>
        <w:numPr>
          <w:ilvl w:val="0"/>
          <w:numId w:val="2"/>
        </w:numPr>
        <w:spacing w:after="60" w:line="264"/>
      </w:pPr>
      <w:r>
        <w:t xml:space="preserve">Quarterly: rotate object-storage access keys; review firewall rules, IAM access, staff/user accounts, TLS certificate validity, and malware signature freshness.</w:t>
      </w:r>
    </w:p>
    <w:p>
      <w:pPr>
        <w:pStyle w:val="ListParagraph"/>
        <w:numPr>
          <w:ilvl w:val="0"/>
          <w:numId w:val="2"/>
        </w:numPr>
        <w:spacing w:after="60" w:line="264"/>
      </w:pPr>
      <w:r>
        <w:t xml:space="preserve">Apply urgent security patches out-of-band when a critical vulnerability affects our stack.</w:t>
      </w:r>
    </w:p>
    <w:p>
      <w:pPr>
        <w:pStyle w:val="ListParagraph"/>
        <w:numPr>
          <w:ilvl w:val="0"/>
          <w:numId w:val="2"/>
        </w:numPr>
        <w:spacing w:after="60" w:line="264"/>
      </w:pPr>
      <w:r>
        <w:t xml:space="preserve">Manage TLS certificates (Caddy auto-renews; MSP monitors for renewal failures).</w:t>
      </w:r>
    </w:p>
    <w:p>
      <w:pPr>
        <w:pStyle w:val="Heading2"/>
        <w:spacing w:after="100" w:before="220"/>
      </w:pPr>
      <w:r>
        <w:rPr>
          <w:b/>
          <w:bCs/>
          <w:color w:val="1F3A34"/>
        </w:rPr>
        <w:t xml:space="preserve">5.6  Capacity &amp; housekeeping</w:t>
      </w:r>
    </w:p>
    <w:p>
      <w:pPr>
        <w:pStyle w:val="ListParagraph"/>
        <w:numPr>
          <w:ilvl w:val="0"/>
          <w:numId w:val="2"/>
        </w:numPr>
        <w:spacing w:after="60" w:line="264"/>
      </w:pPr>
      <w:r>
        <w:t xml:space="preserve">Monitor disk usage; run container image/cache cleanup to prevent disk exhaustion (the most likely failure mode on a 2 GB instance).</w:t>
      </w:r>
    </w:p>
    <w:p>
      <w:pPr>
        <w:pStyle w:val="ListParagraph"/>
        <w:numPr>
          <w:ilvl w:val="0"/>
          <w:numId w:val="2"/>
        </w:numPr>
        <w:spacing w:after="60" w:line="264"/>
      </w:pPr>
      <w:r>
        <w:t xml:space="preserve">Advise if the instance/database bundle needs resizing (we approve any change that affects cost).</w:t>
      </w:r>
    </w:p>
    <w:p>
      <w:pPr>
        <w:pStyle w:val="Heading2"/>
        <w:spacing w:after="100" w:before="220"/>
      </w:pPr>
      <w:r>
        <w:rPr>
          <w:b/>
          <w:bCs/>
          <w:color w:val="1F3A34"/>
        </w:rPr>
        <w:t xml:space="preserve">5.7  Deployment support (light)</w:t>
      </w:r>
    </w:p>
    <w:p>
      <w:pPr>
        <w:pStyle w:val="ListParagraph"/>
        <w:numPr>
          <w:ilvl w:val="0"/>
          <w:numId w:val="2"/>
        </w:numPr>
        <w:spacing w:after="60" w:line="264"/>
      </w:pPr>
      <w:r>
        <w:t xml:space="preserve">Application deployments are performed via our provided one-command script and are normally run by Verae. The MSP should be able to execute a deployment and run database migrations using the runbook when we request it, and to take the pre-deployment snapshot.</w:t>
      </w:r>
    </w:p>
    <w:p>
      <w:pPr>
        <w:pStyle w:val="ListParagraph"/>
        <w:numPr>
          <w:ilvl w:val="0"/>
          <w:numId w:val="2"/>
        </w:numPr>
        <w:spacing w:after="60" w:line="264"/>
      </w:pPr>
      <w:r>
        <w:t xml:space="preserve">Optional line item — please price separately if offered: run our deployments on our behalf on request.</w:t>
      </w:r>
    </w:p>
    <w:p>
      <w:pPr>
        <w:pStyle w:val="Heading2"/>
        <w:spacing w:after="100" w:before="220"/>
      </w:pPr>
      <w:r>
        <w:rPr>
          <w:b/>
          <w:bCs/>
          <w:color w:val="1F3A34"/>
        </w:rPr>
        <w:t xml:space="preserve">5.8  Incident response</w:t>
      </w:r>
    </w:p>
    <w:p>
      <w:pPr>
        <w:pStyle w:val="ListParagraph"/>
        <w:numPr>
          <w:ilvl w:val="0"/>
          <w:numId w:val="2"/>
        </w:numPr>
        <w:spacing w:after="60" w:line="264"/>
      </w:pPr>
      <w:r>
        <w:t xml:space="preserve">First response and diagnosis for production incidents per §6.</w:t>
      </w:r>
    </w:p>
    <w:p>
      <w:pPr>
        <w:pStyle w:val="ListParagraph"/>
        <w:numPr>
          <w:ilvl w:val="0"/>
          <w:numId w:val="2"/>
        </w:numPr>
        <w:spacing w:after="60" w:line="264"/>
      </w:pPr>
      <w:r>
        <w:t xml:space="preserve">Execute documented recovery procedures (service restart, restore from snapshot, credential rotation).</w:t>
      </w:r>
    </w:p>
    <w:p>
      <w:pPr>
        <w:pStyle w:val="ListParagraph"/>
        <w:numPr>
          <w:ilvl w:val="0"/>
          <w:numId w:val="2"/>
        </w:numPr>
        <w:spacing w:after="60" w:line="264"/>
      </w:pPr>
      <w:r>
        <w:t xml:space="preserve">Lead technical containment for suspected compromise and support our PDPA breach process, including the documented detach / preserve / restore-clean / rotate-secrets playbook.</w:t>
      </w:r>
    </w:p>
    <w:p>
      <w:pPr>
        <w:pStyle w:val="Heading2"/>
        <w:spacing w:after="100" w:before="220"/>
      </w:pPr>
      <w:r>
        <w:rPr>
          <w:b/>
          <w:bCs/>
          <w:color w:val="1F3A34"/>
        </w:rPr>
        <w:t xml:space="preserve">5.9  Reporting</w:t>
      </w:r>
    </w:p>
    <w:p>
      <w:pPr>
        <w:pStyle w:val="ListParagraph"/>
        <w:numPr>
          <w:ilvl w:val="0"/>
          <w:numId w:val="2"/>
        </w:numPr>
        <w:spacing w:after="60" w:line="264"/>
      </w:pPr>
      <w:r>
        <w:t xml:space="preserve">Monthly summary: patching status, alerts/incidents, backup verification, and any risks.</w:t>
      </w:r>
    </w:p>
    <w:p>
      <w:pPr>
        <w:pStyle w:val="ListParagraph"/>
        <w:numPr>
          <w:ilvl w:val="0"/>
          <w:numId w:val="2"/>
        </w:numPr>
        <w:spacing w:after="60" w:line="264"/>
      </w:pPr>
      <w:r>
        <w:t xml:space="preserve">Quarterly: DR test results and security-review outcomes.</w:t>
      </w:r>
    </w:p>
    <w:p>
      <w:pPr>
        <w:spacing w:after="120"/>
      </w:pPr>
    </w:p>
    <w:p>
      <w:pPr>
        <w:pStyle w:val="Heading2"/>
        <w:spacing w:after="100" w:before="220"/>
      </w:pPr>
      <w:r>
        <w:rPr>
          <w:b/>
          <w:bCs/>
          <w:color w:val="1F3A34"/>
        </w:rPr>
        <w:t xml:space="preserve">5.10  Responsibility matrix</w:t>
      </w:r>
    </w:p>
    <w:tbl>
      <w:tblPr>
        <w:tblW w:type="dxa" w:w="9360"/>
        <w:tblBorders>
          <w:top w:val="single" w:color="C9D6D2" w:sz="2"/>
          <w:left w:val="single" w:color="C9D6D2" w:sz="2"/>
          <w:bottom w:val="single" w:color="C9D6D2" w:sz="2"/>
          <w:right w:val="single" w:color="C9D6D2" w:sz="2"/>
          <w:insideH w:val="single" w:color="DCE5E2" w:sz="1"/>
          <w:insideV w:val="single" w:color="DCE5E2" w:sz="1"/>
        </w:tblBorders>
      </w:tblPr>
      <w:tblGrid>
        <w:gridCol w:w="5760"/>
        <w:gridCol w:w="1800"/>
        <w:gridCol w:w="1800"/>
      </w:tblGrid>
      <w:tr>
        <w:trPr>
          <w:tblHeader/>
        </w:trPr>
        <w:tc>
          <w:tcPr>
            <w:tcW w:type="dxa" w:w="5760"/>
            <w:shd w:fill="1F3A34" w:color="auto" w:val="clear"/>
            <w:tcMar>
              <w:top w:type="dxa" w:w="60"/>
              <w:left w:type="dxa" w:w="100"/>
              <w:bottom w:type="dxa" w:w="60"/>
              <w:right w:type="dxa" w:w="100"/>
            </w:tcMar>
          </w:tcPr>
          <w:p>
            <w:pPr>
              <w:jc w:val="left"/>
            </w:pPr>
            <w:r>
              <w:rPr>
                <w:b/>
                <w:bCs/>
                <w:color w:val="FFFFFF"/>
                <w:sz w:val="20"/>
                <w:szCs w:val="20"/>
              </w:rPr>
              <w:t xml:space="preserve">Activity</w:t>
            </w:r>
          </w:p>
        </w:tc>
        <w:tc>
          <w:tcPr>
            <w:tcW w:type="dxa" w:w="1800"/>
            <w:shd w:fill="1F3A34" w:color="auto" w:val="clear"/>
            <w:tcMar>
              <w:top w:type="dxa" w:w="60"/>
              <w:left w:type="dxa" w:w="100"/>
              <w:bottom w:type="dxa" w:w="60"/>
              <w:right w:type="dxa" w:w="100"/>
            </w:tcMar>
          </w:tcPr>
          <w:p>
            <w:pPr>
              <w:jc w:val="left"/>
            </w:pPr>
            <w:r>
              <w:rPr>
                <w:b/>
                <w:bCs/>
                <w:color w:val="FFFFFF"/>
                <w:sz w:val="20"/>
                <w:szCs w:val="20"/>
              </w:rPr>
              <w:t xml:space="preserve">Verae</w:t>
            </w:r>
          </w:p>
        </w:tc>
        <w:tc>
          <w:tcPr>
            <w:tcW w:type="dxa" w:w="1800"/>
            <w:shd w:fill="1F3A34" w:color="auto" w:val="clear"/>
            <w:tcMar>
              <w:top w:type="dxa" w:w="60"/>
              <w:left w:type="dxa" w:w="100"/>
              <w:bottom w:type="dxa" w:w="60"/>
              <w:right w:type="dxa" w:w="100"/>
            </w:tcMar>
          </w:tcPr>
          <w:p>
            <w:pPr>
              <w:jc w:val="left"/>
            </w:pPr>
            <w:r>
              <w:rPr>
                <w:b/>
                <w:bCs/>
                <w:color w:val="FFFFFF"/>
                <w:sz w:val="20"/>
                <w:szCs w:val="20"/>
              </w:rPr>
              <w:t xml:space="preserve">MSP</w:t>
            </w:r>
          </w:p>
        </w:tc>
      </w:tr>
      <w:tr>
        <w:tc>
          <w:tcPr>
            <w:tcW w:type="dxa" w:w="5760"/>
            <w:tcMar>
              <w:top w:type="dxa" w:w="60"/>
              <w:left w:type="dxa" w:w="100"/>
              <w:bottom w:type="dxa" w:w="60"/>
              <w:right w:type="dxa" w:w="100"/>
            </w:tcMar>
          </w:tcPr>
          <w:p>
            <w:pPr>
              <w:jc w:val="left"/>
            </w:pPr>
            <w:r>
              <w:rPr>
                <w:b w:val="false"/>
                <w:bCs w:val="false"/>
                <w:sz w:val="20"/>
                <w:szCs w:val="20"/>
              </w:rPr>
              <w:t xml:space="preserve">Application code, features, bug fixes</w:t>
            </w:r>
          </w:p>
        </w:tc>
        <w:tc>
          <w:tcPr>
            <w:tcW w:type="dxa" w:w="1800"/>
            <w:tcMar>
              <w:top w:type="dxa" w:w="60"/>
              <w:left w:type="dxa" w:w="100"/>
              <w:bottom w:type="dxa" w:w="60"/>
              <w:right w:type="dxa" w:w="100"/>
            </w:tcMar>
          </w:tcPr>
          <w:p>
            <w:pPr>
              <w:jc w:val="center"/>
            </w:pPr>
            <w:r>
              <w:rPr>
                <w:b/>
                <w:bCs/>
                <w:sz w:val="20"/>
                <w:szCs w:val="20"/>
              </w:rPr>
              <w:t xml:space="preserve">●</w:t>
            </w:r>
          </w:p>
        </w:tc>
        <w:tc>
          <w:tcPr>
            <w:tcW w:type="dxa" w:w="1800"/>
            <w:tcMar>
              <w:top w:type="dxa" w:w="60"/>
              <w:left w:type="dxa" w:w="100"/>
              <w:bottom w:type="dxa" w:w="60"/>
              <w:right w:type="dxa" w:w="100"/>
            </w:tcMar>
          </w:tcPr>
          <w:p>
            <w:pPr>
              <w:jc w:val="center"/>
            </w:pPr>
            <w:r>
              <w:rPr>
                <w:b/>
                <w:bCs/>
                <w:sz w:val="20"/>
                <w:szCs w:val="20"/>
              </w:rPr>
              <w:t xml:space="preserve"/>
            </w:r>
          </w:p>
        </w:tc>
      </w:tr>
      <w:tr>
        <w:tc>
          <w:tcPr>
            <w:tcW w:type="dxa" w:w="5760"/>
            <w:shd w:fill="F4F7F6" w:color="auto" w:val="clear"/>
            <w:tcMar>
              <w:top w:type="dxa" w:w="60"/>
              <w:left w:type="dxa" w:w="100"/>
              <w:bottom w:type="dxa" w:w="60"/>
              <w:right w:type="dxa" w:w="100"/>
            </w:tcMar>
          </w:tcPr>
          <w:p>
            <w:pPr>
              <w:jc w:val="left"/>
            </w:pPr>
            <w:r>
              <w:rPr>
                <w:b w:val="false"/>
                <w:bCs w:val="false"/>
                <w:sz w:val="20"/>
                <w:szCs w:val="20"/>
              </w:rPr>
              <w:t xml:space="preserve">Frontend / Vercel hosting</w:t>
            </w:r>
          </w:p>
        </w:tc>
        <w:tc>
          <w:tcPr>
            <w:tcW w:type="dxa" w:w="1800"/>
            <w:shd w:fill="F4F7F6" w:color="auto" w:val="clear"/>
            <w:tcMar>
              <w:top w:type="dxa" w:w="60"/>
              <w:left w:type="dxa" w:w="100"/>
              <w:bottom w:type="dxa" w:w="60"/>
              <w:right w:type="dxa" w:w="100"/>
            </w:tcMar>
          </w:tcPr>
          <w:p>
            <w:pPr>
              <w:jc w:val="center"/>
            </w:pPr>
            <w:r>
              <w:rPr>
                <w:b/>
                <w:bCs/>
                <w:sz w:val="20"/>
                <w:szCs w:val="20"/>
              </w:rPr>
              <w:t xml:space="preserve">●</w:t>
            </w:r>
          </w:p>
        </w:tc>
        <w:tc>
          <w:tcPr>
            <w:tcW w:type="dxa" w:w="1800"/>
            <w:shd w:fill="F4F7F6" w:color="auto" w:val="clear"/>
            <w:tcMar>
              <w:top w:type="dxa" w:w="60"/>
              <w:left w:type="dxa" w:w="100"/>
              <w:bottom w:type="dxa" w:w="60"/>
              <w:right w:type="dxa" w:w="100"/>
            </w:tcMar>
          </w:tcPr>
          <w:p>
            <w:pPr>
              <w:jc w:val="center"/>
            </w:pPr>
            <w:r>
              <w:rPr>
                <w:b/>
                <w:bCs/>
                <w:sz w:val="20"/>
                <w:szCs w:val="20"/>
              </w:rPr>
              <w:t xml:space="preserve"/>
            </w:r>
          </w:p>
        </w:tc>
      </w:tr>
      <w:tr>
        <w:tc>
          <w:tcPr>
            <w:tcW w:type="dxa" w:w="5760"/>
            <w:tcMar>
              <w:top w:type="dxa" w:w="60"/>
              <w:left w:type="dxa" w:w="100"/>
              <w:bottom w:type="dxa" w:w="60"/>
              <w:right w:type="dxa" w:w="100"/>
            </w:tcMar>
          </w:tcPr>
          <w:p>
            <w:pPr>
              <w:jc w:val="left"/>
            </w:pPr>
            <w:r>
              <w:rPr>
                <w:b w:val="false"/>
                <w:bCs w:val="false"/>
                <w:sz w:val="20"/>
                <w:szCs w:val="20"/>
              </w:rPr>
              <w:t xml:space="preserve">Building the deployment artifact (CI)</w:t>
            </w:r>
          </w:p>
        </w:tc>
        <w:tc>
          <w:tcPr>
            <w:tcW w:type="dxa" w:w="1800"/>
            <w:tcMar>
              <w:top w:type="dxa" w:w="60"/>
              <w:left w:type="dxa" w:w="100"/>
              <w:bottom w:type="dxa" w:w="60"/>
              <w:right w:type="dxa" w:w="100"/>
            </w:tcMar>
          </w:tcPr>
          <w:p>
            <w:pPr>
              <w:jc w:val="center"/>
            </w:pPr>
            <w:r>
              <w:rPr>
                <w:b/>
                <w:bCs/>
                <w:sz w:val="20"/>
                <w:szCs w:val="20"/>
              </w:rPr>
              <w:t xml:space="preserve">●</w:t>
            </w:r>
          </w:p>
        </w:tc>
        <w:tc>
          <w:tcPr>
            <w:tcW w:type="dxa" w:w="1800"/>
            <w:tcMar>
              <w:top w:type="dxa" w:w="60"/>
              <w:left w:type="dxa" w:w="100"/>
              <w:bottom w:type="dxa" w:w="60"/>
              <w:right w:type="dxa" w:w="100"/>
            </w:tcMar>
          </w:tcPr>
          <w:p>
            <w:pPr>
              <w:jc w:val="center"/>
            </w:pPr>
            <w:r>
              <w:rPr>
                <w:b/>
                <w:bCs/>
                <w:sz w:val="20"/>
                <w:szCs w:val="20"/>
              </w:rPr>
              <w:t xml:space="preserve"/>
            </w:r>
          </w:p>
        </w:tc>
      </w:tr>
      <w:tr>
        <w:tc>
          <w:tcPr>
            <w:tcW w:type="dxa" w:w="5760"/>
            <w:shd w:fill="F4F7F6" w:color="auto" w:val="clear"/>
            <w:tcMar>
              <w:top w:type="dxa" w:w="60"/>
              <w:left w:type="dxa" w:w="100"/>
              <w:bottom w:type="dxa" w:w="60"/>
              <w:right w:type="dxa" w:w="100"/>
            </w:tcMar>
          </w:tcPr>
          <w:p>
            <w:pPr>
              <w:jc w:val="left"/>
            </w:pPr>
            <w:r>
              <w:rPr>
                <w:b w:val="false"/>
                <w:bCs w:val="false"/>
                <w:sz w:val="20"/>
                <w:szCs w:val="20"/>
              </w:rPr>
              <w:t xml:space="preserve">Approving infrastructure / cost changes</w:t>
            </w:r>
          </w:p>
        </w:tc>
        <w:tc>
          <w:tcPr>
            <w:tcW w:type="dxa" w:w="1800"/>
            <w:shd w:fill="F4F7F6" w:color="auto" w:val="clear"/>
            <w:tcMar>
              <w:top w:type="dxa" w:w="60"/>
              <w:left w:type="dxa" w:w="100"/>
              <w:bottom w:type="dxa" w:w="60"/>
              <w:right w:type="dxa" w:w="100"/>
            </w:tcMar>
          </w:tcPr>
          <w:p>
            <w:pPr>
              <w:jc w:val="center"/>
            </w:pPr>
            <w:r>
              <w:rPr>
                <w:b/>
                <w:bCs/>
                <w:sz w:val="20"/>
                <w:szCs w:val="20"/>
              </w:rPr>
              <w:t xml:space="preserve">●</w:t>
            </w:r>
          </w:p>
        </w:tc>
        <w:tc>
          <w:tcPr>
            <w:tcW w:type="dxa" w:w="1800"/>
            <w:shd w:fill="F4F7F6" w:color="auto" w:val="clear"/>
            <w:tcMar>
              <w:top w:type="dxa" w:w="60"/>
              <w:left w:type="dxa" w:w="100"/>
              <w:bottom w:type="dxa" w:w="60"/>
              <w:right w:type="dxa" w:w="100"/>
            </w:tcMar>
          </w:tcPr>
          <w:p>
            <w:pPr>
              <w:jc w:val="center"/>
            </w:pPr>
            <w:r>
              <w:rPr>
                <w:b/>
                <w:bCs/>
                <w:sz w:val="20"/>
                <w:szCs w:val="20"/>
              </w:rPr>
              <w:t xml:space="preserve"/>
            </w:r>
          </w:p>
        </w:tc>
      </w:tr>
      <w:tr>
        <w:tc>
          <w:tcPr>
            <w:tcW w:type="dxa" w:w="5760"/>
            <w:tcMar>
              <w:top w:type="dxa" w:w="60"/>
              <w:left w:type="dxa" w:w="100"/>
              <w:bottom w:type="dxa" w:w="60"/>
              <w:right w:type="dxa" w:w="100"/>
            </w:tcMar>
          </w:tcPr>
          <w:p>
            <w:pPr>
              <w:jc w:val="left"/>
            </w:pPr>
            <w:r>
              <w:rPr>
                <w:b w:val="false"/>
                <w:bCs w:val="false"/>
                <w:sz w:val="20"/>
                <w:szCs w:val="20"/>
              </w:rPr>
              <w:t xml:space="preserve">OS &amp; container patching, reboots</w:t>
            </w:r>
          </w:p>
        </w:tc>
        <w:tc>
          <w:tcPr>
            <w:tcW w:type="dxa" w:w="1800"/>
            <w:tcMar>
              <w:top w:type="dxa" w:w="60"/>
              <w:left w:type="dxa" w:w="100"/>
              <w:bottom w:type="dxa" w:w="60"/>
              <w:right w:type="dxa" w:w="100"/>
            </w:tcMar>
          </w:tcPr>
          <w:p>
            <w:pPr>
              <w:jc w:val="center"/>
            </w:pPr>
            <w:r>
              <w:rPr>
                <w:b/>
                <w:bCs/>
                <w:sz w:val="20"/>
                <w:szCs w:val="20"/>
              </w:rPr>
              <w:t xml:space="preserve"/>
            </w:r>
          </w:p>
        </w:tc>
        <w:tc>
          <w:tcPr>
            <w:tcW w:type="dxa" w:w="1800"/>
            <w:tcMar>
              <w:top w:type="dxa" w:w="60"/>
              <w:left w:type="dxa" w:w="100"/>
              <w:bottom w:type="dxa" w:w="60"/>
              <w:right w:type="dxa" w:w="100"/>
            </w:tcMar>
          </w:tcPr>
          <w:p>
            <w:pPr>
              <w:jc w:val="center"/>
            </w:pPr>
            <w:r>
              <w:rPr>
                <w:b/>
                <w:bCs/>
                <w:sz w:val="20"/>
                <w:szCs w:val="20"/>
              </w:rPr>
              <w:t xml:space="preserve">●</w:t>
            </w:r>
          </w:p>
        </w:tc>
      </w:tr>
      <w:tr>
        <w:tc>
          <w:tcPr>
            <w:tcW w:type="dxa" w:w="5760"/>
            <w:shd w:fill="F4F7F6" w:color="auto" w:val="clear"/>
            <w:tcMar>
              <w:top w:type="dxa" w:w="60"/>
              <w:left w:type="dxa" w:w="100"/>
              <w:bottom w:type="dxa" w:w="60"/>
              <w:right w:type="dxa" w:w="100"/>
            </w:tcMar>
          </w:tcPr>
          <w:p>
            <w:pPr>
              <w:jc w:val="left"/>
            </w:pPr>
            <w:r>
              <w:rPr>
                <w:b w:val="false"/>
                <w:bCs w:val="false"/>
                <w:sz w:val="20"/>
                <w:szCs w:val="20"/>
              </w:rPr>
              <w:t xml:space="preserve">Monitoring, alerting, on-call triage</w:t>
            </w:r>
          </w:p>
        </w:tc>
        <w:tc>
          <w:tcPr>
            <w:tcW w:type="dxa" w:w="1800"/>
            <w:shd w:fill="F4F7F6" w:color="auto" w:val="clear"/>
            <w:tcMar>
              <w:top w:type="dxa" w:w="60"/>
              <w:left w:type="dxa" w:w="100"/>
              <w:bottom w:type="dxa" w:w="60"/>
              <w:right w:type="dxa" w:w="100"/>
            </w:tcMar>
          </w:tcPr>
          <w:p>
            <w:pPr>
              <w:jc w:val="center"/>
            </w:pPr>
            <w:r>
              <w:rPr>
                <w:b/>
                <w:bCs/>
                <w:sz w:val="20"/>
                <w:szCs w:val="20"/>
              </w:rPr>
              <w:t xml:space="preserve"/>
            </w:r>
          </w:p>
        </w:tc>
        <w:tc>
          <w:tcPr>
            <w:tcW w:type="dxa" w:w="1800"/>
            <w:shd w:fill="F4F7F6" w:color="auto" w:val="clear"/>
            <w:tcMar>
              <w:top w:type="dxa" w:w="60"/>
              <w:left w:type="dxa" w:w="100"/>
              <w:bottom w:type="dxa" w:w="60"/>
              <w:right w:type="dxa" w:w="100"/>
            </w:tcMar>
          </w:tcPr>
          <w:p>
            <w:pPr>
              <w:jc w:val="center"/>
            </w:pPr>
            <w:r>
              <w:rPr>
                <w:b/>
                <w:bCs/>
                <w:sz w:val="20"/>
                <w:szCs w:val="20"/>
              </w:rPr>
              <w:t xml:space="preserve">●</w:t>
            </w:r>
          </w:p>
        </w:tc>
      </w:tr>
      <w:tr>
        <w:tc>
          <w:tcPr>
            <w:tcW w:type="dxa" w:w="5760"/>
            <w:tcMar>
              <w:top w:type="dxa" w:w="60"/>
              <w:left w:type="dxa" w:w="100"/>
              <w:bottom w:type="dxa" w:w="60"/>
              <w:right w:type="dxa" w:w="100"/>
            </w:tcMar>
          </w:tcPr>
          <w:p>
            <w:pPr>
              <w:jc w:val="left"/>
            </w:pPr>
            <w:r>
              <w:rPr>
                <w:b w:val="false"/>
                <w:bCs w:val="false"/>
                <w:sz w:val="20"/>
                <w:szCs w:val="20"/>
              </w:rPr>
              <w:t xml:space="preserve">Backups, snapshots, DR testing</w:t>
            </w:r>
          </w:p>
        </w:tc>
        <w:tc>
          <w:tcPr>
            <w:tcW w:type="dxa" w:w="1800"/>
            <w:tcMar>
              <w:top w:type="dxa" w:w="60"/>
              <w:left w:type="dxa" w:w="100"/>
              <w:bottom w:type="dxa" w:w="60"/>
              <w:right w:type="dxa" w:w="100"/>
            </w:tcMar>
          </w:tcPr>
          <w:p>
            <w:pPr>
              <w:jc w:val="center"/>
            </w:pPr>
            <w:r>
              <w:rPr>
                <w:b/>
                <w:bCs/>
                <w:sz w:val="20"/>
                <w:szCs w:val="20"/>
              </w:rPr>
              <w:t xml:space="preserve"/>
            </w:r>
          </w:p>
        </w:tc>
        <w:tc>
          <w:tcPr>
            <w:tcW w:type="dxa" w:w="1800"/>
            <w:tcMar>
              <w:top w:type="dxa" w:w="60"/>
              <w:left w:type="dxa" w:w="100"/>
              <w:bottom w:type="dxa" w:w="60"/>
              <w:right w:type="dxa" w:w="100"/>
            </w:tcMar>
          </w:tcPr>
          <w:p>
            <w:pPr>
              <w:jc w:val="center"/>
            </w:pPr>
            <w:r>
              <w:rPr>
                <w:b/>
                <w:bCs/>
                <w:sz w:val="20"/>
                <w:szCs w:val="20"/>
              </w:rPr>
              <w:t xml:space="preserve">●</w:t>
            </w:r>
          </w:p>
        </w:tc>
      </w:tr>
      <w:tr>
        <w:tc>
          <w:tcPr>
            <w:tcW w:type="dxa" w:w="5760"/>
            <w:shd w:fill="F4F7F6" w:color="auto" w:val="clear"/>
            <w:tcMar>
              <w:top w:type="dxa" w:w="60"/>
              <w:left w:type="dxa" w:w="100"/>
              <w:bottom w:type="dxa" w:w="60"/>
              <w:right w:type="dxa" w:w="100"/>
            </w:tcMar>
          </w:tcPr>
          <w:p>
            <w:pPr>
              <w:jc w:val="left"/>
            </w:pPr>
            <w:r>
              <w:rPr>
                <w:b w:val="false"/>
                <w:bCs w:val="false"/>
                <w:sz w:val="20"/>
                <w:szCs w:val="20"/>
              </w:rPr>
              <w:t xml:space="preserve">Security ops, key rotation, firewall</w:t>
            </w:r>
          </w:p>
        </w:tc>
        <w:tc>
          <w:tcPr>
            <w:tcW w:type="dxa" w:w="1800"/>
            <w:shd w:fill="F4F7F6" w:color="auto" w:val="clear"/>
            <w:tcMar>
              <w:top w:type="dxa" w:w="60"/>
              <w:left w:type="dxa" w:w="100"/>
              <w:bottom w:type="dxa" w:w="60"/>
              <w:right w:type="dxa" w:w="100"/>
            </w:tcMar>
          </w:tcPr>
          <w:p>
            <w:pPr>
              <w:jc w:val="center"/>
            </w:pPr>
            <w:r>
              <w:rPr>
                <w:b/>
                <w:bCs/>
                <w:sz w:val="20"/>
                <w:szCs w:val="20"/>
              </w:rPr>
              <w:t xml:space="preserve"/>
            </w:r>
          </w:p>
        </w:tc>
        <w:tc>
          <w:tcPr>
            <w:tcW w:type="dxa" w:w="1800"/>
            <w:shd w:fill="F4F7F6" w:color="auto" w:val="clear"/>
            <w:tcMar>
              <w:top w:type="dxa" w:w="60"/>
              <w:left w:type="dxa" w:w="100"/>
              <w:bottom w:type="dxa" w:w="60"/>
              <w:right w:type="dxa" w:w="100"/>
            </w:tcMar>
          </w:tcPr>
          <w:p>
            <w:pPr>
              <w:jc w:val="center"/>
            </w:pPr>
            <w:r>
              <w:rPr>
                <w:b/>
                <w:bCs/>
                <w:sz w:val="20"/>
                <w:szCs w:val="20"/>
              </w:rPr>
              <w:t xml:space="preserve">●</w:t>
            </w:r>
          </w:p>
        </w:tc>
      </w:tr>
      <w:tr>
        <w:tc>
          <w:tcPr>
            <w:tcW w:type="dxa" w:w="5760"/>
            <w:tcMar>
              <w:top w:type="dxa" w:w="60"/>
              <w:left w:type="dxa" w:w="100"/>
              <w:bottom w:type="dxa" w:w="60"/>
              <w:right w:type="dxa" w:w="100"/>
            </w:tcMar>
          </w:tcPr>
          <w:p>
            <w:pPr>
              <w:jc w:val="left"/>
            </w:pPr>
            <w:r>
              <w:rPr>
                <w:b w:val="false"/>
                <w:bCs w:val="false"/>
                <w:sz w:val="20"/>
                <w:szCs w:val="20"/>
              </w:rPr>
              <w:t xml:space="preserve">Incident response &amp; recovery execution</w:t>
            </w:r>
          </w:p>
        </w:tc>
        <w:tc>
          <w:tcPr>
            <w:tcW w:type="dxa" w:w="1800"/>
            <w:tcMar>
              <w:top w:type="dxa" w:w="60"/>
              <w:left w:type="dxa" w:w="100"/>
              <w:bottom w:type="dxa" w:w="60"/>
              <w:right w:type="dxa" w:w="100"/>
            </w:tcMar>
          </w:tcPr>
          <w:p>
            <w:pPr>
              <w:jc w:val="center"/>
            </w:pPr>
            <w:r>
              <w:rPr>
                <w:b/>
                <w:bCs/>
                <w:sz w:val="20"/>
                <w:szCs w:val="20"/>
              </w:rPr>
              <w:t xml:space="preserve"/>
            </w:r>
          </w:p>
        </w:tc>
        <w:tc>
          <w:tcPr>
            <w:tcW w:type="dxa" w:w="1800"/>
            <w:tcMar>
              <w:top w:type="dxa" w:w="60"/>
              <w:left w:type="dxa" w:w="100"/>
              <w:bottom w:type="dxa" w:w="60"/>
              <w:right w:type="dxa" w:w="100"/>
            </w:tcMar>
          </w:tcPr>
          <w:p>
            <w:pPr>
              <w:jc w:val="center"/>
            </w:pPr>
            <w:r>
              <w:rPr>
                <w:b/>
                <w:bCs/>
                <w:sz w:val="20"/>
                <w:szCs w:val="20"/>
              </w:rPr>
              <w:t xml:space="preserve">●</w:t>
            </w:r>
          </w:p>
        </w:tc>
      </w:tr>
      <w:tr>
        <w:tc>
          <w:tcPr>
            <w:tcW w:type="dxa" w:w="5760"/>
            <w:shd w:fill="F4F7F6" w:color="auto" w:val="clear"/>
            <w:tcMar>
              <w:top w:type="dxa" w:w="60"/>
              <w:left w:type="dxa" w:w="100"/>
              <w:bottom w:type="dxa" w:w="60"/>
              <w:right w:type="dxa" w:w="100"/>
            </w:tcMar>
          </w:tcPr>
          <w:p>
            <w:pPr>
              <w:jc w:val="left"/>
            </w:pPr>
            <w:r>
              <w:rPr>
                <w:b w:val="false"/>
                <w:bCs w:val="false"/>
                <w:sz w:val="20"/>
                <w:szCs w:val="20"/>
              </w:rPr>
              <w:t xml:space="preserve">TLS / certificate health</w:t>
            </w:r>
          </w:p>
        </w:tc>
        <w:tc>
          <w:tcPr>
            <w:tcW w:type="dxa" w:w="1800"/>
            <w:shd w:fill="F4F7F6" w:color="auto" w:val="clear"/>
            <w:tcMar>
              <w:top w:type="dxa" w:w="60"/>
              <w:left w:type="dxa" w:w="100"/>
              <w:bottom w:type="dxa" w:w="60"/>
              <w:right w:type="dxa" w:w="100"/>
            </w:tcMar>
          </w:tcPr>
          <w:p>
            <w:pPr>
              <w:jc w:val="center"/>
            </w:pPr>
            <w:r>
              <w:rPr>
                <w:b/>
                <w:bCs/>
                <w:sz w:val="20"/>
                <w:szCs w:val="20"/>
              </w:rPr>
              <w:t xml:space="preserve"/>
            </w:r>
          </w:p>
        </w:tc>
        <w:tc>
          <w:tcPr>
            <w:tcW w:type="dxa" w:w="1800"/>
            <w:shd w:fill="F4F7F6" w:color="auto" w:val="clear"/>
            <w:tcMar>
              <w:top w:type="dxa" w:w="60"/>
              <w:left w:type="dxa" w:w="100"/>
              <w:bottom w:type="dxa" w:w="60"/>
              <w:right w:type="dxa" w:w="100"/>
            </w:tcMar>
          </w:tcPr>
          <w:p>
            <w:pPr>
              <w:jc w:val="center"/>
            </w:pPr>
            <w:r>
              <w:rPr>
                <w:b/>
                <w:bCs/>
                <w:sz w:val="20"/>
                <w:szCs w:val="20"/>
              </w:rPr>
              <w:t xml:space="preserve">●</w:t>
            </w:r>
          </w:p>
        </w:tc>
      </w:tr>
      <w:tr>
        <w:tc>
          <w:tcPr>
            <w:tcW w:type="dxa" w:w="5760"/>
            <w:tcMar>
              <w:top w:type="dxa" w:w="60"/>
              <w:left w:type="dxa" w:w="100"/>
              <w:bottom w:type="dxa" w:w="60"/>
              <w:right w:type="dxa" w:w="100"/>
            </w:tcMar>
          </w:tcPr>
          <w:p>
            <w:pPr>
              <w:jc w:val="left"/>
            </w:pPr>
            <w:r>
              <w:rPr>
                <w:b w:val="false"/>
                <w:bCs w:val="false"/>
                <w:sz w:val="20"/>
                <w:szCs w:val="20"/>
              </w:rPr>
              <w:t xml:space="preserve">Running deployments on request</w:t>
            </w:r>
          </w:p>
        </w:tc>
        <w:tc>
          <w:tcPr>
            <w:tcW w:type="dxa" w:w="1800"/>
            <w:tcMar>
              <w:top w:type="dxa" w:w="60"/>
              <w:left w:type="dxa" w:w="100"/>
              <w:bottom w:type="dxa" w:w="60"/>
              <w:right w:type="dxa" w:w="100"/>
            </w:tcMar>
          </w:tcPr>
          <w:p>
            <w:pPr>
              <w:jc w:val="center"/>
            </w:pPr>
            <w:r>
              <w:rPr>
                <w:b w:val="false"/>
                <w:bCs w:val="false"/>
                <w:sz w:val="20"/>
                <w:szCs w:val="20"/>
              </w:rPr>
              <w:t xml:space="preserve">○ default</w:t>
            </w:r>
          </w:p>
        </w:tc>
        <w:tc>
          <w:tcPr>
            <w:tcW w:type="dxa" w:w="1800"/>
            <w:tcMar>
              <w:top w:type="dxa" w:w="60"/>
              <w:left w:type="dxa" w:w="100"/>
              <w:bottom w:type="dxa" w:w="60"/>
              <w:right w:type="dxa" w:w="100"/>
            </w:tcMar>
          </w:tcPr>
          <w:p>
            <w:pPr>
              <w:jc w:val="center"/>
            </w:pPr>
            <w:r>
              <w:rPr>
                <w:b w:val="false"/>
                <w:bCs w:val="false"/>
                <w:sz w:val="20"/>
                <w:szCs w:val="20"/>
              </w:rPr>
              <w:t xml:space="preserve">○ optional</w:t>
            </w:r>
          </w:p>
        </w:tc>
      </w:tr>
      <w:tr>
        <w:tc>
          <w:tcPr>
            <w:tcW w:type="dxa" w:w="5760"/>
            <w:shd w:fill="F4F7F6" w:color="auto" w:val="clear"/>
            <w:tcMar>
              <w:top w:type="dxa" w:w="60"/>
              <w:left w:type="dxa" w:w="100"/>
              <w:bottom w:type="dxa" w:w="60"/>
              <w:right w:type="dxa" w:w="100"/>
            </w:tcMar>
          </w:tcPr>
          <w:p>
            <w:pPr>
              <w:jc w:val="left"/>
            </w:pPr>
            <w:r>
              <w:rPr>
                <w:b w:val="false"/>
                <w:bCs w:val="false"/>
                <w:sz w:val="20"/>
                <w:szCs w:val="20"/>
              </w:rPr>
              <w:t xml:space="preserve">PDPA breach notification to authorities</w:t>
            </w:r>
          </w:p>
        </w:tc>
        <w:tc>
          <w:tcPr>
            <w:tcW w:type="dxa" w:w="1800"/>
            <w:shd w:fill="F4F7F6" w:color="auto" w:val="clear"/>
            <w:tcMar>
              <w:top w:type="dxa" w:w="60"/>
              <w:left w:type="dxa" w:w="100"/>
              <w:bottom w:type="dxa" w:w="60"/>
              <w:right w:type="dxa" w:w="100"/>
            </w:tcMar>
          </w:tcPr>
          <w:p>
            <w:pPr>
              <w:jc w:val="center"/>
            </w:pPr>
            <w:r>
              <w:rPr>
                <w:b/>
                <w:bCs/>
                <w:sz w:val="20"/>
                <w:szCs w:val="20"/>
              </w:rPr>
              <w:t xml:space="preserve">●</w:t>
            </w:r>
          </w:p>
        </w:tc>
        <w:tc>
          <w:tcPr>
            <w:tcW w:type="dxa" w:w="1800"/>
            <w:shd w:fill="F4F7F6" w:color="auto" w:val="clear"/>
            <w:tcMar>
              <w:top w:type="dxa" w:w="60"/>
              <w:left w:type="dxa" w:w="100"/>
              <w:bottom w:type="dxa" w:w="60"/>
              <w:right w:type="dxa" w:w="100"/>
            </w:tcMar>
          </w:tcPr>
          <w:p>
            <w:pPr>
              <w:jc w:val="center"/>
            </w:pPr>
            <w:r>
              <w:rPr>
                <w:b w:val="false"/>
                <w:bCs w:val="false"/>
                <w:sz w:val="20"/>
                <w:szCs w:val="20"/>
              </w:rPr>
              <w:t xml:space="preserve">supports</w:t>
            </w:r>
          </w:p>
        </w:tc>
      </w:tr>
    </w:tbl>
    <w:p>
      <w:pPr>
        <w:spacing w:after="120"/>
      </w:pPr>
      <w:r>
        <w:rPr>
          <w:i/>
          <w:iCs/>
          <w:color w:val="555555"/>
          <w:sz w:val="18"/>
          <w:szCs w:val="18"/>
        </w:rPr>
        <w:t xml:space="preserve">● = owner   ○ = either, per agreement</w:t>
      </w:r>
    </w:p>
    <w:p>
      <w:pPr>
        <w:pStyle w:val="Heading1"/>
        <w:spacing w:after="140" w:before="320"/>
      </w:pPr>
      <w:r>
        <w:rPr>
          <w:b/>
          <w:bCs/>
          <w:color w:val="1F3A34"/>
        </w:rPr>
        <w:t xml:space="preserve">6. Service levels (proposed — bidders may counter-propose)</w:t>
      </w:r>
    </w:p>
    <w:p>
      <w:pPr>
        <w:spacing w:after="120" w:line="276"/>
      </w:pPr>
      <w:r>
        <w:t xml:space="preserve">Given low usage and cost priority, we expect business-hours support with best-effort after-hours cover for critical production issues — not a full 24/7 staffed desk. Propose what you can offer at what price; tiered options are welcome.</w:t>
      </w:r>
    </w:p>
    <w:tbl>
      <w:tblPr>
        <w:tblW w:type="dxa" w:w="9360"/>
        <w:tblBorders>
          <w:top w:val="single" w:color="C9D6D2" w:sz="2"/>
          <w:left w:val="single" w:color="C9D6D2" w:sz="2"/>
          <w:bottom w:val="single" w:color="C9D6D2" w:sz="2"/>
          <w:right w:val="single" w:color="C9D6D2" w:sz="2"/>
          <w:insideH w:val="single" w:color="DCE5E2" w:sz="1"/>
          <w:insideV w:val="single" w:color="DCE5E2" w:sz="1"/>
        </w:tblBorders>
      </w:tblPr>
      <w:tblGrid>
        <w:gridCol w:w="1500"/>
        <w:gridCol w:w="3660"/>
        <w:gridCol w:w="2100"/>
        <w:gridCol w:w="2100"/>
      </w:tblGrid>
      <w:tr>
        <w:trPr>
          <w:tblHeader/>
        </w:trPr>
        <w:tc>
          <w:tcPr>
            <w:tcW w:type="dxa" w:w="1500"/>
            <w:shd w:fill="1F3A34" w:color="auto" w:val="clear"/>
            <w:tcMar>
              <w:top w:type="dxa" w:w="60"/>
              <w:left w:type="dxa" w:w="100"/>
              <w:bottom w:type="dxa" w:w="60"/>
              <w:right w:type="dxa" w:w="100"/>
            </w:tcMar>
          </w:tcPr>
          <w:p>
            <w:pPr>
              <w:jc w:val="left"/>
            </w:pPr>
            <w:r>
              <w:rPr>
                <w:b/>
                <w:bCs/>
                <w:color w:val="FFFFFF"/>
                <w:sz w:val="20"/>
                <w:szCs w:val="20"/>
              </w:rPr>
              <w:t xml:space="preserve">Severity</w:t>
            </w:r>
          </w:p>
        </w:tc>
        <w:tc>
          <w:tcPr>
            <w:tcW w:type="dxa" w:w="3660"/>
            <w:shd w:fill="1F3A34" w:color="auto" w:val="clear"/>
            <w:tcMar>
              <w:top w:type="dxa" w:w="60"/>
              <w:left w:type="dxa" w:w="100"/>
              <w:bottom w:type="dxa" w:w="60"/>
              <w:right w:type="dxa" w:w="100"/>
            </w:tcMar>
          </w:tcPr>
          <w:p>
            <w:pPr>
              <w:jc w:val="left"/>
            </w:pPr>
            <w:r>
              <w:rPr>
                <w:b/>
                <w:bCs/>
                <w:color w:val="FFFFFF"/>
                <w:sz w:val="20"/>
                <w:szCs w:val="20"/>
              </w:rPr>
              <w:t xml:space="preserve">Definition</w:t>
            </w:r>
          </w:p>
        </w:tc>
        <w:tc>
          <w:tcPr>
            <w:tcW w:type="dxa" w:w="2100"/>
            <w:shd w:fill="1F3A34" w:color="auto" w:val="clear"/>
            <w:tcMar>
              <w:top w:type="dxa" w:w="60"/>
              <w:left w:type="dxa" w:w="100"/>
              <w:bottom w:type="dxa" w:w="60"/>
              <w:right w:type="dxa" w:w="100"/>
            </w:tcMar>
          </w:tcPr>
          <w:p>
            <w:pPr>
              <w:jc w:val="left"/>
            </w:pPr>
            <w:r>
              <w:rPr>
                <w:b/>
                <w:bCs/>
                <w:color w:val="FFFFFF"/>
                <w:sz w:val="20"/>
                <w:szCs w:val="20"/>
              </w:rPr>
              <w:t xml:space="preserve">Target response</w:t>
            </w:r>
          </w:p>
        </w:tc>
        <w:tc>
          <w:tcPr>
            <w:tcW w:type="dxa" w:w="2100"/>
            <w:shd w:fill="1F3A34" w:color="auto" w:val="clear"/>
            <w:tcMar>
              <w:top w:type="dxa" w:w="60"/>
              <w:left w:type="dxa" w:w="100"/>
              <w:bottom w:type="dxa" w:w="60"/>
              <w:right w:type="dxa" w:w="100"/>
            </w:tcMar>
          </w:tcPr>
          <w:p>
            <w:pPr>
              <w:jc w:val="left"/>
            </w:pPr>
            <w:r>
              <w:rPr>
                <w:b/>
                <w:bCs/>
                <w:color w:val="FFFFFF"/>
                <w:sz w:val="20"/>
                <w:szCs w:val="20"/>
              </w:rPr>
              <w:t xml:space="preserve">Target resolution / workaround</w:t>
            </w:r>
          </w:p>
        </w:tc>
      </w:tr>
      <w:tr>
        <w:tc>
          <w:tcPr>
            <w:tcW w:type="dxa" w:w="1500"/>
            <w:tcMar>
              <w:top w:type="dxa" w:w="60"/>
              <w:left w:type="dxa" w:w="100"/>
              <w:bottom w:type="dxa" w:w="60"/>
              <w:right w:type="dxa" w:w="100"/>
            </w:tcMar>
          </w:tcPr>
          <w:p>
            <w:pPr>
              <w:jc w:val="left"/>
            </w:pPr>
            <w:r>
              <w:rPr>
                <w:b/>
                <w:bCs/>
                <w:sz w:val="20"/>
                <w:szCs w:val="20"/>
              </w:rPr>
              <w:t xml:space="preserve">P1 — Critical</w:t>
            </w:r>
          </w:p>
        </w:tc>
        <w:tc>
          <w:tcPr>
            <w:tcW w:type="dxa" w:w="3660"/>
            <w:tcMar>
              <w:top w:type="dxa" w:w="60"/>
              <w:left w:type="dxa" w:w="100"/>
              <w:bottom w:type="dxa" w:w="60"/>
              <w:right w:type="dxa" w:w="100"/>
            </w:tcMar>
          </w:tcPr>
          <w:p>
            <w:pPr>
              <w:jc w:val="left"/>
            </w:pPr>
            <w:r>
              <w:rPr>
                <w:b w:val="false"/>
                <w:bCs w:val="false"/>
                <w:sz w:val="20"/>
                <w:szCs w:val="20"/>
              </w:rPr>
              <w:t xml:space="preserve">Production API down, data loss, or active security incident</w:t>
            </w:r>
          </w:p>
        </w:tc>
        <w:tc>
          <w:tcPr>
            <w:tcW w:type="dxa" w:w="2100"/>
            <w:tcMar>
              <w:top w:type="dxa" w:w="60"/>
              <w:left w:type="dxa" w:w="100"/>
              <w:bottom w:type="dxa" w:w="60"/>
              <w:right w:type="dxa" w:w="100"/>
            </w:tcMar>
          </w:tcPr>
          <w:p>
            <w:pPr>
              <w:jc w:val="left"/>
            </w:pPr>
            <w:r>
              <w:rPr>
                <w:b w:val="false"/>
                <w:bCs w:val="false"/>
                <w:sz w:val="20"/>
                <w:szCs w:val="20"/>
              </w:rPr>
              <w:t xml:space="preserve">1 hour (incl. after-hours best-effort)</w:t>
            </w:r>
          </w:p>
        </w:tc>
        <w:tc>
          <w:tcPr>
            <w:tcW w:type="dxa" w:w="2100"/>
            <w:tcMar>
              <w:top w:type="dxa" w:w="60"/>
              <w:left w:type="dxa" w:w="100"/>
              <w:bottom w:type="dxa" w:w="60"/>
              <w:right w:type="dxa" w:w="100"/>
            </w:tcMar>
          </w:tcPr>
          <w:p>
            <w:pPr>
              <w:jc w:val="left"/>
            </w:pPr>
            <w:r>
              <w:rPr>
                <w:b w:val="false"/>
                <w:bCs w:val="false"/>
                <w:sz w:val="20"/>
                <w:szCs w:val="20"/>
              </w:rPr>
              <w:t xml:space="preserve">4 hours</w:t>
            </w:r>
          </w:p>
        </w:tc>
      </w:tr>
      <w:tr>
        <w:tc>
          <w:tcPr>
            <w:tcW w:type="dxa" w:w="1500"/>
            <w:shd w:fill="F4F7F6" w:color="auto" w:val="clear"/>
            <w:tcMar>
              <w:top w:type="dxa" w:w="60"/>
              <w:left w:type="dxa" w:w="100"/>
              <w:bottom w:type="dxa" w:w="60"/>
              <w:right w:type="dxa" w:w="100"/>
            </w:tcMar>
          </w:tcPr>
          <w:p>
            <w:pPr>
              <w:jc w:val="left"/>
            </w:pPr>
            <w:r>
              <w:rPr>
                <w:b/>
                <w:bCs/>
                <w:sz w:val="20"/>
                <w:szCs w:val="20"/>
              </w:rPr>
              <w:t xml:space="preserve">P2 — High</w:t>
            </w:r>
          </w:p>
        </w:tc>
        <w:tc>
          <w:tcPr>
            <w:tcW w:type="dxa" w:w="3660"/>
            <w:shd w:fill="F4F7F6" w:color="auto" w:val="clear"/>
            <w:tcMar>
              <w:top w:type="dxa" w:w="60"/>
              <w:left w:type="dxa" w:w="100"/>
              <w:bottom w:type="dxa" w:w="60"/>
              <w:right w:type="dxa" w:w="100"/>
            </w:tcMar>
          </w:tcPr>
          <w:p>
            <w:pPr>
              <w:jc w:val="left"/>
            </w:pPr>
            <w:r>
              <w:rPr>
                <w:b w:val="false"/>
                <w:bCs w:val="false"/>
                <w:sz w:val="20"/>
                <w:szCs w:val="20"/>
              </w:rPr>
              <w:t xml:space="preserve">Major degradation; backups failing; no redundancy for a key function</w:t>
            </w:r>
          </w:p>
        </w:tc>
        <w:tc>
          <w:tcPr>
            <w:tcW w:type="dxa" w:w="2100"/>
            <w:shd w:fill="F4F7F6" w:color="auto" w:val="clear"/>
            <w:tcMar>
              <w:top w:type="dxa" w:w="60"/>
              <w:left w:type="dxa" w:w="100"/>
              <w:bottom w:type="dxa" w:w="60"/>
              <w:right w:type="dxa" w:w="100"/>
            </w:tcMar>
          </w:tcPr>
          <w:p>
            <w:pPr>
              <w:jc w:val="left"/>
            </w:pPr>
            <w:r>
              <w:rPr>
                <w:b w:val="false"/>
                <w:bCs w:val="false"/>
                <w:sz w:val="20"/>
                <w:szCs w:val="20"/>
              </w:rPr>
              <w:t xml:space="preserve">4 business hours</w:t>
            </w:r>
          </w:p>
        </w:tc>
        <w:tc>
          <w:tcPr>
            <w:tcW w:type="dxa" w:w="2100"/>
            <w:shd w:fill="F4F7F6" w:color="auto" w:val="clear"/>
            <w:tcMar>
              <w:top w:type="dxa" w:w="60"/>
              <w:left w:type="dxa" w:w="100"/>
              <w:bottom w:type="dxa" w:w="60"/>
              <w:right w:type="dxa" w:w="100"/>
            </w:tcMar>
          </w:tcPr>
          <w:p>
            <w:pPr>
              <w:jc w:val="left"/>
            </w:pPr>
            <w:r>
              <w:rPr>
                <w:b w:val="false"/>
                <w:bCs w:val="false"/>
                <w:sz w:val="20"/>
                <w:szCs w:val="20"/>
              </w:rPr>
              <w:t xml:space="preserve">1 business day</w:t>
            </w:r>
          </w:p>
        </w:tc>
      </w:tr>
      <w:tr>
        <w:tc>
          <w:tcPr>
            <w:tcW w:type="dxa" w:w="1500"/>
            <w:tcMar>
              <w:top w:type="dxa" w:w="60"/>
              <w:left w:type="dxa" w:w="100"/>
              <w:bottom w:type="dxa" w:w="60"/>
              <w:right w:type="dxa" w:w="100"/>
            </w:tcMar>
          </w:tcPr>
          <w:p>
            <w:pPr>
              <w:jc w:val="left"/>
            </w:pPr>
            <w:r>
              <w:rPr>
                <w:b/>
                <w:bCs/>
                <w:sz w:val="20"/>
                <w:szCs w:val="20"/>
              </w:rPr>
              <w:t xml:space="preserve">P3 — Normal</w:t>
            </w:r>
          </w:p>
        </w:tc>
        <w:tc>
          <w:tcPr>
            <w:tcW w:type="dxa" w:w="3660"/>
            <w:tcMar>
              <w:top w:type="dxa" w:w="60"/>
              <w:left w:type="dxa" w:w="100"/>
              <w:bottom w:type="dxa" w:w="60"/>
              <w:right w:type="dxa" w:w="100"/>
            </w:tcMar>
          </w:tcPr>
          <w:p>
            <w:pPr>
              <w:jc w:val="left"/>
            </w:pPr>
            <w:r>
              <w:rPr>
                <w:b w:val="false"/>
                <w:bCs w:val="false"/>
                <w:sz w:val="20"/>
                <w:szCs w:val="20"/>
              </w:rPr>
              <w:t xml:space="preserve">Minor issue, single alarm, non-urgent request</w:t>
            </w:r>
          </w:p>
        </w:tc>
        <w:tc>
          <w:tcPr>
            <w:tcW w:type="dxa" w:w="2100"/>
            <w:tcMar>
              <w:top w:type="dxa" w:w="60"/>
              <w:left w:type="dxa" w:w="100"/>
              <w:bottom w:type="dxa" w:w="60"/>
              <w:right w:type="dxa" w:w="100"/>
            </w:tcMar>
          </w:tcPr>
          <w:p>
            <w:pPr>
              <w:jc w:val="left"/>
            </w:pPr>
            <w:r>
              <w:rPr>
                <w:b w:val="false"/>
                <w:bCs w:val="false"/>
                <w:sz w:val="20"/>
                <w:szCs w:val="20"/>
              </w:rPr>
              <w:t xml:space="preserve">1 business day</w:t>
            </w:r>
          </w:p>
        </w:tc>
        <w:tc>
          <w:tcPr>
            <w:tcW w:type="dxa" w:w="2100"/>
            <w:tcMar>
              <w:top w:type="dxa" w:w="60"/>
              <w:left w:type="dxa" w:w="100"/>
              <w:bottom w:type="dxa" w:w="60"/>
              <w:right w:type="dxa" w:w="100"/>
            </w:tcMar>
          </w:tcPr>
          <w:p>
            <w:pPr>
              <w:jc w:val="left"/>
            </w:pPr>
            <w:r>
              <w:rPr>
                <w:b w:val="false"/>
                <w:bCs w:val="false"/>
                <w:sz w:val="20"/>
                <w:szCs w:val="20"/>
              </w:rPr>
              <w:t xml:space="preserve">5 business days</w:t>
            </w:r>
          </w:p>
        </w:tc>
      </w:tr>
      <w:tr>
        <w:tc>
          <w:tcPr>
            <w:tcW w:type="dxa" w:w="1500"/>
            <w:shd w:fill="F4F7F6" w:color="auto" w:val="clear"/>
            <w:tcMar>
              <w:top w:type="dxa" w:w="60"/>
              <w:left w:type="dxa" w:w="100"/>
              <w:bottom w:type="dxa" w:w="60"/>
              <w:right w:type="dxa" w:w="100"/>
            </w:tcMar>
          </w:tcPr>
          <w:p>
            <w:pPr>
              <w:jc w:val="left"/>
            </w:pPr>
            <w:r>
              <w:rPr>
                <w:b/>
                <w:bCs/>
                <w:sz w:val="20"/>
                <w:szCs w:val="20"/>
              </w:rPr>
              <w:t xml:space="preserve">P4 — Scheduled</w:t>
            </w:r>
          </w:p>
        </w:tc>
        <w:tc>
          <w:tcPr>
            <w:tcW w:type="dxa" w:w="3660"/>
            <w:shd w:fill="F4F7F6" w:color="auto" w:val="clear"/>
            <w:tcMar>
              <w:top w:type="dxa" w:w="60"/>
              <w:left w:type="dxa" w:w="100"/>
              <w:bottom w:type="dxa" w:w="60"/>
              <w:right w:type="dxa" w:w="100"/>
            </w:tcMar>
          </w:tcPr>
          <w:p>
            <w:pPr>
              <w:jc w:val="left"/>
            </w:pPr>
            <w:r>
              <w:rPr>
                <w:b w:val="false"/>
                <w:bCs w:val="false"/>
                <w:sz w:val="20"/>
                <w:szCs w:val="20"/>
              </w:rPr>
              <w:t xml:space="preserve">Patching, reviews, planned changes</w:t>
            </w:r>
          </w:p>
        </w:tc>
        <w:tc>
          <w:tcPr>
            <w:tcW w:type="dxa" w:w="2100"/>
            <w:shd w:fill="F4F7F6" w:color="auto" w:val="clear"/>
            <w:tcMar>
              <w:top w:type="dxa" w:w="60"/>
              <w:left w:type="dxa" w:w="100"/>
              <w:bottom w:type="dxa" w:w="60"/>
              <w:right w:type="dxa" w:w="100"/>
            </w:tcMar>
          </w:tcPr>
          <w:p>
            <w:pPr>
              <w:jc w:val="left"/>
            </w:pPr>
            <w:r>
              <w:rPr>
                <w:b w:val="false"/>
                <w:bCs w:val="false"/>
                <w:sz w:val="20"/>
                <w:szCs w:val="20"/>
              </w:rPr>
              <w:t xml:space="preserve">Per calendar</w:t>
            </w:r>
          </w:p>
        </w:tc>
        <w:tc>
          <w:tcPr>
            <w:tcW w:type="dxa" w:w="2100"/>
            <w:shd w:fill="F4F7F6" w:color="auto" w:val="clear"/>
            <w:tcMar>
              <w:top w:type="dxa" w:w="60"/>
              <w:left w:type="dxa" w:w="100"/>
              <w:bottom w:type="dxa" w:w="60"/>
              <w:right w:type="dxa" w:w="100"/>
            </w:tcMar>
          </w:tcPr>
          <w:p>
            <w:pPr>
              <w:jc w:val="left"/>
            </w:pPr>
            <w:r>
              <w:rPr>
                <w:b w:val="false"/>
                <w:bCs w:val="false"/>
                <w:sz w:val="20"/>
                <w:szCs w:val="20"/>
              </w:rPr>
              <w:t xml:space="preserve">Per calendar</w:t>
            </w:r>
          </w:p>
        </w:tc>
      </w:tr>
    </w:tbl>
    <w:p>
      <w:pPr>
        <w:spacing w:after="120"/>
      </w:pPr>
    </w:p>
    <w:p>
      <w:pPr>
        <w:pStyle w:val="ListParagraph"/>
        <w:numPr>
          <w:ilvl w:val="0"/>
          <w:numId w:val="2"/>
        </w:numPr>
        <w:spacing w:after="60" w:line="264"/>
      </w:pPr>
      <w:r>
        <w:t xml:space="preserve">Maintenance window: to be agreed (suggest a low-traffic weekly/monthly slot); production changes always follow a successful staging change.</w:t>
      </w:r>
    </w:p>
    <w:p>
      <w:pPr>
        <w:pStyle w:val="ListParagraph"/>
        <w:numPr>
          <w:ilvl w:val="0"/>
          <w:numId w:val="2"/>
        </w:numPr>
        <w:spacing w:after="60" w:line="264"/>
      </w:pPr>
      <w:r>
        <w:t xml:space="preserve">Change control: any change affecting security posture or monthly cost requires Verae's prior approval.</w:t>
      </w:r>
    </w:p>
    <w:p>
      <w:pPr>
        <w:pStyle w:val="Heading1"/>
        <w:spacing w:after="140" w:before="320"/>
      </w:pPr>
      <w:r>
        <w:rPr>
          <w:b/>
          <w:bCs/>
          <w:color w:val="1F3A34"/>
        </w:rPr>
        <w:t xml:space="preserve">7. Access &amp; handover model</w:t>
      </w:r>
    </w:p>
    <w:p>
      <w:pPr>
        <w:pStyle w:val="ListParagraph"/>
        <w:numPr>
          <w:ilvl w:val="0"/>
          <w:numId w:val="2"/>
        </w:numPr>
        <w:spacing w:after="60" w:line="264"/>
      </w:pPr>
      <w:r>
        <w:t xml:space="preserve">AWS: MSP staff use named IAM users (MFA enforced, least-privilege policies). Root account remains with Verae and is not shared.</w:t>
      </w:r>
    </w:p>
    <w:p>
      <w:pPr>
        <w:pStyle w:val="ListParagraph"/>
        <w:numPr>
          <w:ilvl w:val="0"/>
          <w:numId w:val="2"/>
        </w:numPr>
        <w:spacing w:after="60" w:line="264"/>
      </w:pPr>
      <w:r>
        <w:t xml:space="preserve">Servers: SSH by individual keys, added to the firewall allow-list; Lightsail browser-SSH retained as emergency fallback.</w:t>
      </w:r>
    </w:p>
    <w:p>
      <w:pPr>
        <w:pStyle w:val="ListParagraph"/>
        <w:numPr>
          <w:ilvl w:val="0"/>
          <w:numId w:val="2"/>
        </w:numPr>
        <w:spacing w:after="60" w:line="264"/>
      </w:pPr>
      <w:r>
        <w:t xml:space="preserve">Secrets: production secrets live only on the servers (never in the code repository). The MSP manages them in place; Verae holds the master copies.</w:t>
      </w:r>
    </w:p>
    <w:p>
      <w:pPr>
        <w:pStyle w:val="ListParagraph"/>
        <w:numPr>
          <w:ilvl w:val="0"/>
          <w:numId w:val="2"/>
        </w:numPr>
        <w:spacing w:after="60" w:line="264"/>
      </w:pPr>
      <w:r>
        <w:t xml:space="preserve">Offboarding: on personnel change or contract end, all MSP credentials, keys, and IAM users are revoked and secrets rotated. Please describe your offboarding process.</w:t>
      </w:r>
    </w:p>
    <w:p>
      <w:pPr>
        <w:pStyle w:val="ListParagraph"/>
        <w:numPr>
          <w:ilvl w:val="0"/>
          <w:numId w:val="2"/>
        </w:numPr>
        <w:spacing w:after="60" w:line="264"/>
      </w:pPr>
      <w:r>
        <w:t xml:space="preserve">Documentation provided at handover: operations runbook, deployment tooling, environment inventory, and this architecture brief.</w:t>
      </w:r>
    </w:p>
    <w:p>
      <w:pPr>
        <w:pStyle w:val="Heading1"/>
        <w:spacing w:after="140" w:before="320"/>
      </w:pPr>
      <w:r>
        <w:rPr>
          <w:b/>
          <w:bCs/>
          <w:color w:val="1F3A34"/>
        </w:rPr>
        <w:t xml:space="preserve">8. Explicitly out of scope</w:t>
      </w:r>
    </w:p>
    <w:p>
      <w:pPr>
        <w:pStyle w:val="ListParagraph"/>
        <w:numPr>
          <w:ilvl w:val="0"/>
          <w:numId w:val="2"/>
        </w:numPr>
        <w:spacing w:after="60" w:line="264"/>
      </w:pPr>
      <w:r>
        <w:t xml:space="preserve">Application/feature development, code changes, and bug fixes (Verae's team).</w:t>
      </w:r>
    </w:p>
    <w:p>
      <w:pPr>
        <w:pStyle w:val="ListParagraph"/>
        <w:numPr>
          <w:ilvl w:val="0"/>
          <w:numId w:val="2"/>
        </w:numPr>
        <w:spacing w:after="60" w:line="264"/>
      </w:pPr>
      <w:r>
        <w:t xml:space="preserve">Frontend hosting and the Vercel account.</w:t>
      </w:r>
    </w:p>
    <w:p>
      <w:pPr>
        <w:pStyle w:val="ListParagraph"/>
        <w:numPr>
          <w:ilvl w:val="0"/>
          <w:numId w:val="2"/>
        </w:numPr>
        <w:spacing w:after="60" w:line="264"/>
      </w:pPr>
      <w:r>
        <w:t xml:space="preserve">DNS registrar administration (Porkbun) beyond advising on required records.</w:t>
      </w:r>
    </w:p>
    <w:p>
      <w:pPr>
        <w:pStyle w:val="ListParagraph"/>
        <w:numPr>
          <w:ilvl w:val="0"/>
          <w:numId w:val="2"/>
        </w:numPr>
        <w:spacing w:after="60" w:line="264"/>
      </w:pPr>
      <w:r>
        <w:t xml:space="preserve">Third-party SaaS accounts (Resend, Cloudflare Turnstile, Google OAuth) beyond advising on configuration.</w:t>
      </w:r>
    </w:p>
    <w:p>
      <w:pPr>
        <w:pStyle w:val="ListParagraph"/>
        <w:numPr>
          <w:ilvl w:val="0"/>
          <w:numId w:val="2"/>
        </w:numPr>
        <w:spacing w:after="60" w:line="264"/>
      </w:pPr>
      <w:r>
        <w:t xml:space="preserve">Product/clinical decisions, and PDPA legal obligations (the MSP supports the technical response but Verae remains the data controller).</w:t>
      </w:r>
    </w:p>
    <w:p>
      <w:pPr>
        <w:pStyle w:val="ListParagraph"/>
        <w:numPr>
          <w:ilvl w:val="0"/>
          <w:numId w:val="2"/>
        </w:numPr>
        <w:spacing w:after="60" w:line="264"/>
      </w:pPr>
      <w:r>
        <w:t xml:space="preserve">Autoscaling / high-availability / multi-region architecture (not required at current scale).</w:t>
      </w:r>
    </w:p>
    <w:p>
      <w:pPr>
        <w:pStyle w:val="Heading1"/>
        <w:spacing w:after="140" w:before="320"/>
      </w:pPr>
      <w:r>
        <w:rPr>
          <w:b/>
          <w:bCs/>
          <w:color w:val="1F3A34"/>
        </w:rPr>
        <w:t xml:space="preserve">9. Assumptions &amp; constraints</w:t>
      </w:r>
    </w:p>
    <w:p>
      <w:pPr>
        <w:pStyle w:val="ListParagraph"/>
        <w:numPr>
          <w:ilvl w:val="0"/>
          <w:numId w:val="2"/>
        </w:numPr>
        <w:spacing w:after="60" w:line="264"/>
      </w:pPr>
      <w:r>
        <w:t xml:space="preserve">Very low traffic and infrequent usage; a single instance per environment is sufficient and there is no high-availability requirement at present.</w:t>
      </w:r>
    </w:p>
    <w:p>
      <w:pPr>
        <w:pStyle w:val="ListParagraph"/>
        <w:numPr>
          <w:ilvl w:val="0"/>
          <w:numId w:val="2"/>
        </w:numPr>
        <w:spacing w:after="60" w:line="264"/>
      </w:pPr>
      <w:r>
        <w:t xml:space="preserve">A short, scheduled maintenance-window outage is acceptable.</w:t>
      </w:r>
    </w:p>
    <w:p>
      <w:pPr>
        <w:pStyle w:val="ListParagraph"/>
        <w:numPr>
          <w:ilvl w:val="0"/>
          <w:numId w:val="2"/>
        </w:numPr>
        <w:spacing w:after="60" w:line="264"/>
      </w:pPr>
      <w:r>
        <w:t xml:space="preserve">The estate is intentionally small; we are optimising for low recurring cost and low operational overhead, not headroom.</w:t>
      </w:r>
    </w:p>
    <w:p>
      <w:pPr>
        <w:pStyle w:val="ListParagraph"/>
        <w:numPr>
          <w:ilvl w:val="0"/>
          <w:numId w:val="2"/>
        </w:numPr>
        <w:spacing w:after="60" w:line="264"/>
      </w:pPr>
      <w:r>
        <w:t xml:space="preserve">The application is already built, hardened, and documented; this is an operate-and-maintain engagement, not a build.</w:t>
      </w:r>
    </w:p>
    <w:p>
      <w:pPr>
        <w:pStyle w:val="ListParagraph"/>
        <w:numPr>
          <w:ilvl w:val="0"/>
          <w:numId w:val="2"/>
        </w:numPr>
        <w:spacing w:after="60" w:line="264"/>
      </w:pPr>
      <w:r>
        <w:t xml:space="preserve">All work must preserve Malaysia data residency and the §4 controls.</w:t>
      </w:r>
    </w:p>
    <w:p>
      <w:pPr>
        <w:pStyle w:val="Heading1"/>
        <w:spacing w:after="140" w:before="320"/>
      </w:pPr>
      <w:r>
        <w:rPr>
          <w:b/>
          <w:bCs/>
          <w:color w:val="1F3A34"/>
        </w:rPr>
        <w:t xml:space="preserve">10. What we would like in your quotation</w:t>
      </w:r>
    </w:p>
    <w:p>
      <w:pPr>
        <w:spacing w:after="120" w:line="276"/>
      </w:pPr>
      <w:r>
        <w:t xml:space="preserve">Please structure your response to include:</w:t>
      </w:r>
    </w:p>
    <w:p>
      <w:pPr>
        <w:pStyle w:val="ListParagraph"/>
        <w:numPr>
          <w:ilvl w:val="0"/>
          <w:numId w:val="3"/>
        </w:numPr>
        <w:spacing w:after="80" w:line="264"/>
      </w:pPr>
      <w:r>
        <w:t xml:space="preserve">One-time onboarding / takeover fee — access setup, familiarisation, verification of the current state, and any remediation you recommend.</w:t>
      </w:r>
    </w:p>
    <w:p>
      <w:pPr>
        <w:pStyle w:val="ListParagraph"/>
        <w:numPr>
          <w:ilvl w:val="0"/>
          <w:numId w:val="3"/>
        </w:numPr>
        <w:spacing w:after="80" w:line="264"/>
      </w:pPr>
      <w:r>
        <w:t xml:space="preserve">Recurring monthly managed-service fee — covering §5. Break down by service area where possible, and state clearly what is included vs metered/extra.</w:t>
      </w:r>
    </w:p>
    <w:p>
      <w:pPr>
        <w:pStyle w:val="ListParagraph"/>
        <w:numPr>
          <w:ilvl w:val="0"/>
          <w:numId w:val="3"/>
        </w:numPr>
        <w:spacing w:after="80" w:line="264"/>
      </w:pPr>
      <w:r>
        <w:t xml:space="preserve">Support model &amp; SLA options — your proposed severity response times and coverage hours (see §6), with pricing per tier if you offer choices.</w:t>
      </w:r>
    </w:p>
    <w:p>
      <w:pPr>
        <w:pStyle w:val="ListParagraph"/>
        <w:numPr>
          <w:ilvl w:val="0"/>
          <w:numId w:val="3"/>
        </w:numPr>
        <w:spacing w:after="80" w:line="264"/>
      </w:pPr>
      <w:r>
        <w:t xml:space="preserve">Incident / out-of-hours handling — how P1s are covered after hours and any associated cost.</w:t>
      </w:r>
    </w:p>
    <w:p>
      <w:pPr>
        <w:pStyle w:val="ListParagraph"/>
        <w:numPr>
          <w:ilvl w:val="0"/>
          <w:numId w:val="3"/>
        </w:numPr>
        <w:spacing w:after="80" w:line="264"/>
      </w:pPr>
      <w:r>
        <w:t xml:space="preserve">Optional line items — e.g. running deployments on our behalf (§5.7), deeper security services, penetration testing.</w:t>
      </w:r>
    </w:p>
    <w:p>
      <w:pPr>
        <w:pStyle w:val="ListParagraph"/>
        <w:numPr>
          <w:ilvl w:val="0"/>
          <w:numId w:val="3"/>
        </w:numPr>
        <w:spacing w:after="80" w:line="264"/>
      </w:pPr>
      <w:r>
        <w:t xml:space="preserve">Compliance statements — confirmation of §4 (data residency, DPA willingness, breach-notification commitment, staff location, access model).</w:t>
      </w:r>
    </w:p>
    <w:p>
      <w:pPr>
        <w:pStyle w:val="ListParagraph"/>
        <w:numPr>
          <w:ilvl w:val="0"/>
          <w:numId w:val="3"/>
        </w:numPr>
        <w:spacing w:after="80" w:line="264"/>
      </w:pPr>
      <w:r>
        <w:t xml:space="preserve">Assumptions &amp; exclusions in your pricing.</w:t>
      </w:r>
    </w:p>
    <w:p>
      <w:pPr>
        <w:pStyle w:val="ListParagraph"/>
        <w:numPr>
          <w:ilvl w:val="0"/>
          <w:numId w:val="3"/>
        </w:numPr>
        <w:spacing w:after="80" w:line="264"/>
      </w:pPr>
      <w:r>
        <w:t xml:space="preserve">References — comparable small healthcare/regulated workloads you operate, ideally in the Malaysia/APAC region.</w:t>
      </w:r>
    </w:p>
    <w:p>
      <w:pPr>
        <w:spacing w:after="120"/>
      </w:pPr>
    </w:p>
    <w:p>
      <w:pPr>
        <w:spacing w:after="120" w:line="276"/>
      </w:pPr>
      <w:r>
        <w:t xml:space="preserve">We are comparing on value at our scale: the right-sized, compliant, low-overhead option — not the largest capability or the lowest headline number.</w:t>
      </w:r>
    </w:p>
    <w:p>
      <w:pPr>
        <w:spacing w:after="240"/>
      </w:pPr>
    </w:p>
    <w:p>
      <w:pPr>
        <w:spacing w:after="120"/>
      </w:pPr>
      <w:r>
        <w:rPr>
          <w:i/>
          <w:iCs/>
          <w:color w:val="555555"/>
          <w:sz w:val="18"/>
          <w:szCs w:val="18"/>
        </w:rPr>
        <w:t xml:space="preserve">Prepared by Verae Health. A detailed technical operations runbook is available to shortlisted bidders under NDA.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3A34"/>
      <w:sz w:val="30"/>
      <w:szCs w:val="30"/>
    </w:rPr>
  </w:style>
  <w:style w:type="paragraph" w:styleId="Heading2">
    <w:name w:val="Heading 2"/>
    <w:basedOn w:val="Normal"/>
    <w:next w:val="Normal"/>
    <w:qFormat/>
    <w:pPr>
      <w:spacing w:after="100" w:before="220"/>
    </w:pPr>
    <w:rPr>
      <w:b/>
      <w:bCs/>
      <w:color w:val="1F3A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Verae Health — Backend Infrastructure Brief &amp; Managed Services Scope of Works</dc:title>
  <dc:creator>Verae Health</dc:creator>
  <cp:lastModifiedBy>Un-named</cp:lastModifiedBy>
  <cp:revision>1</cp:revision>
  <dcterms:created xsi:type="dcterms:W3CDTF">2026-07-18T07:54:07.828Z</dcterms:created>
  <dcterms:modified xsi:type="dcterms:W3CDTF">2026-07-18T07:54:07.828Z</dcterms:modified>
</cp:coreProperties>
</file>

<file path=docProps/custom.xml><?xml version="1.0" encoding="utf-8"?>
<Properties xmlns="http://schemas.openxmlformats.org/officeDocument/2006/custom-properties" xmlns:vt="http://schemas.openxmlformats.org/officeDocument/2006/docPropsVTypes"/>
</file>