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59669"/>
          <w:sz w:val="72"/>
        </w:rPr>
        <w:t>OpenBenefacts</w:t>
      </w:r>
    </w:p>
    <w:p>
      <w:pPr>
        <w:jc w:val="center"/>
      </w:pPr>
      <w:r>
        <w:rPr>
          <w:color w:val="6B7280"/>
          <w:sz w:val="36"/>
        </w:rPr>
        <w:t>Business Model &amp; Revenue Strategy</w:t>
      </w:r>
    </w:p>
    <w:p>
      <w:pPr>
        <w:jc w:val="center"/>
      </w:pPr>
      <w:r>
        <w:rPr>
          <w:i/>
          <w:color w:val="9CA3AF"/>
          <w:sz w:val="26"/>
        </w:rPr>
        <w:t>Ireland’s Modern Nonprofit Transparency Platform</w:t>
      </w:r>
    </w:p>
    <w:p/>
    <w:p/>
    <w:p/>
    <w:p>
      <w:pPr>
        <w:jc w:val="center"/>
      </w:pPr>
      <w:r>
        <w:rPr>
          <w:color w:val="6B7280"/>
          <w:sz w:val="22"/>
        </w:rPr>
        <w:t>Prepared by Mark McGrory — Staydia Sports</w:t>
      </w:r>
    </w:p>
    <w:p>
      <w:pPr>
        <w:jc w:val="center"/>
      </w:pPr>
      <w:r>
        <w:rPr>
          <w:color w:val="6B7280"/>
          <w:sz w:val="22"/>
        </w:rPr>
        <w:t>March 2026</w:t>
      </w:r>
    </w:p>
    <w:p>
      <w:pPr>
        <w:jc w:val="center"/>
      </w:pPr>
      <w:r>
        <w:rPr>
          <w:color w:val="6B7280"/>
          <w:sz w:val="22"/>
        </w:rPr>
        <w:t>mark@staydiasports.com</w:t>
      </w:r>
    </w:p>
    <w:p>
      <w:r>
        <w:br w:type="page"/>
      </w:r>
    </w:p>
    <w:p>
      <w:pPr>
        <w:pStyle w:val="Heading1"/>
      </w:pPr>
      <w:r>
        <w:t>Executive Summary</w:t>
      </w:r>
    </w:p>
    <w:p>
      <w:r>
        <w:t>OpenBenefacts is a for-profit SaaS platform replacing the now-closed Benefacts.ie — Ireland’s only comprehensive nonprofit data service. Benefacts tracked 34,000+ nonprofits across a €14 billion sector before closing in 2022 due to loss of government funding. No replacement exists, creating a critical transparency gap.</w:t>
      </w:r>
    </w:p>
    <w:p>
      <w:r>
        <w:t>Our platform already contains 21,183 organizations, 82,571 financial records, and 3,425 state funding relationships from 11 government data sources — more data than Benefacts had at its peak. Unlike Benefacts, we augment raw data with AI-powered intelligence: risk scores, transparency ratings, and narrative insights.</w:t>
      </w:r>
    </w:p>
    <w:p>
      <w:r>
        <w:t>We adopt a freemium model: free public search with basic data (mirroring what Benefacts offered for free), paid subscriptions for advanced analytics and API access, and enterprise contracts for government departments.</w:t>
      </w:r>
    </w:p>
    <w:p>
      <w:pPr>
        <w:pStyle w:val="Heading1"/>
      </w:pPr>
      <w:r>
        <w:t>Market Opportunity</w:t>
      </w:r>
    </w:p>
    <w:p>
      <w:pPr>
        <w:pStyle w:val="Heading2"/>
      </w:pPr>
      <w:r>
        <w:t>The Gap</w:t>
      </w:r>
    </w:p>
    <w:p>
      <w:r>
        <w:t>Since Benefacts closed in 2022, there is no comprehensive nonprofit data service in Ireland. A 2025 investigation confirmed that Ireland has no way to track billions in nonprofit spending, and stakeholders actively seek a centralised grantee database.</w:t>
      </w:r>
    </w:p>
    <w:p>
      <w:pPr>
        <w:pStyle w:val="Heading2"/>
      </w:pPr>
      <w:r>
        <w:t>Benefacts User Base (Our Target)</w:t>
      </w:r>
    </w:p>
    <w:p>
      <w:r>
        <w:t>Benefacts grew from 52,500 users (2017) to 148,250 users (2021). Their final user survey showed: 33% nonprofit employees/volunteers, 19% directors/trustees, 18% general public, 14% professional service providers.</w:t>
      </w:r>
    </w:p>
    <w:p>
      <w:pPr>
        <w:pStyle w:val="Heading2"/>
      </w:pPr>
      <w:r>
        <w:t>Addressable Market</w:t>
      </w:r>
    </w:p>
    <w:tbl>
      <w:tblPr>
        <w:tblW w:type="auto" w:w="0"/>
        <w:jc w:val="center"/>
        <w:tblLook w:firstColumn="1" w:firstRow="1" w:lastColumn="0" w:lastRow="0" w:noHBand="0" w:noVBand="1" w:val="04A0"/>
      </w:tblPr>
      <w:tblGrid>
        <w:gridCol w:w="2160"/>
        <w:gridCol w:w="2160"/>
        <w:gridCol w:w="2160"/>
        <w:gridCol w:w="2160"/>
      </w:tblGrid>
      <w:tr>
        <w:tc>
          <w:tcPr>
            <w:tcW w:type="dxa" w:w="2160"/>
            <w:shd w:fill="059669" w:val="clear"/>
          </w:tcPr>
          <w:p>
            <w:r>
              <w:rPr>
                <w:b/>
                <w:color w:val="FFFFFF"/>
                <w:sz w:val="20"/>
              </w:rPr>
              <w:t>Segment</w:t>
            </w:r>
          </w:p>
        </w:tc>
        <w:tc>
          <w:tcPr>
            <w:tcW w:type="dxa" w:w="2160"/>
            <w:shd w:fill="059669" w:val="clear"/>
          </w:tcPr>
          <w:p>
            <w:r>
              <w:rPr>
                <w:b/>
                <w:color w:val="FFFFFF"/>
                <w:sz w:val="20"/>
              </w:rPr>
              <w:t>Count</w:t>
            </w:r>
          </w:p>
        </w:tc>
        <w:tc>
          <w:tcPr>
            <w:tcW w:type="dxa" w:w="2160"/>
            <w:shd w:fill="059669" w:val="clear"/>
          </w:tcPr>
          <w:p>
            <w:r>
              <w:rPr>
                <w:b/>
                <w:color w:val="FFFFFF"/>
                <w:sz w:val="20"/>
              </w:rPr>
              <w:t>Willingness to Pay</w:t>
            </w:r>
          </w:p>
        </w:tc>
        <w:tc>
          <w:tcPr>
            <w:tcW w:type="dxa" w:w="2160"/>
            <w:shd w:fill="059669" w:val="clear"/>
          </w:tcPr>
          <w:p>
            <w:r>
              <w:rPr>
                <w:b/>
                <w:color w:val="FFFFFF"/>
                <w:sz w:val="20"/>
              </w:rPr>
              <w:t>Revenue Potential</w:t>
            </w:r>
          </w:p>
        </w:tc>
      </w:tr>
      <w:tr>
        <w:tc>
          <w:tcPr>
            <w:tcW w:type="dxa" w:w="2160"/>
          </w:tcPr>
          <w:p>
            <w:r>
              <w:rPr>
                <w:sz w:val="20"/>
              </w:rPr>
              <w:t>Nonprofit orgs</w:t>
            </w:r>
          </w:p>
        </w:tc>
        <w:tc>
          <w:tcPr>
            <w:tcW w:type="dxa" w:w="2160"/>
          </w:tcPr>
          <w:p>
            <w:r>
              <w:rPr>
                <w:sz w:val="20"/>
              </w:rPr>
              <w:t>29,300</w:t>
            </w:r>
          </w:p>
        </w:tc>
        <w:tc>
          <w:tcPr>
            <w:tcW w:type="dxa" w:w="2160"/>
          </w:tcPr>
          <w:p>
            <w:r>
              <w:rPr>
                <w:sz w:val="20"/>
              </w:rPr>
              <w:t>€99–299/yr</w:t>
            </w:r>
          </w:p>
        </w:tc>
        <w:tc>
          <w:tcPr>
            <w:tcW w:type="dxa" w:w="2160"/>
          </w:tcPr>
          <w:p>
            <w:r>
              <w:rPr>
                <w:sz w:val="20"/>
              </w:rPr>
              <w:t>€2.9M–8.8M</w:t>
            </w:r>
          </w:p>
        </w:tc>
      </w:tr>
      <w:tr>
        <w:tc>
          <w:tcPr>
            <w:tcW w:type="dxa" w:w="2160"/>
            <w:shd w:fill="F0FDF4" w:val="clear"/>
          </w:tcPr>
          <w:p>
            <w:r>
              <w:rPr>
                <w:sz w:val="20"/>
              </w:rPr>
              <w:t>Professional services</w:t>
            </w:r>
          </w:p>
        </w:tc>
        <w:tc>
          <w:tcPr>
            <w:tcW w:type="dxa" w:w="2160"/>
            <w:shd w:fill="F0FDF4" w:val="clear"/>
          </w:tcPr>
          <w:p>
            <w:r>
              <w:rPr>
                <w:sz w:val="20"/>
              </w:rPr>
              <w:t>~2,000</w:t>
            </w:r>
          </w:p>
        </w:tc>
        <w:tc>
          <w:tcPr>
            <w:tcW w:type="dxa" w:w="2160"/>
            <w:shd w:fill="F0FDF4" w:val="clear"/>
          </w:tcPr>
          <w:p>
            <w:r>
              <w:rPr>
                <w:sz w:val="20"/>
              </w:rPr>
              <w:t>€499–1,999/yr</w:t>
            </w:r>
          </w:p>
        </w:tc>
        <w:tc>
          <w:tcPr>
            <w:tcW w:type="dxa" w:w="2160"/>
            <w:shd w:fill="F0FDF4" w:val="clear"/>
          </w:tcPr>
          <w:p>
            <w:r>
              <w:rPr>
                <w:sz w:val="20"/>
              </w:rPr>
              <w:t>€1M–4M</w:t>
            </w:r>
          </w:p>
        </w:tc>
      </w:tr>
      <w:tr>
        <w:tc>
          <w:tcPr>
            <w:tcW w:type="dxa" w:w="2160"/>
          </w:tcPr>
          <w:p>
            <w:r>
              <w:rPr>
                <w:sz w:val="20"/>
              </w:rPr>
              <w:t>Government depts/agencies</w:t>
            </w:r>
          </w:p>
        </w:tc>
        <w:tc>
          <w:tcPr>
            <w:tcW w:type="dxa" w:w="2160"/>
          </w:tcPr>
          <w:p>
            <w:r>
              <w:rPr>
                <w:sz w:val="20"/>
              </w:rPr>
              <w:t>~40</w:t>
            </w:r>
          </w:p>
        </w:tc>
        <w:tc>
          <w:tcPr>
            <w:tcW w:type="dxa" w:w="2160"/>
          </w:tcPr>
          <w:p>
            <w:r>
              <w:rPr>
                <w:sz w:val="20"/>
              </w:rPr>
              <w:t>€5K–50K/yr</w:t>
            </w:r>
          </w:p>
        </w:tc>
        <w:tc>
          <w:tcPr>
            <w:tcW w:type="dxa" w:w="2160"/>
          </w:tcPr>
          <w:p>
            <w:r>
              <w:rPr>
                <w:sz w:val="20"/>
              </w:rPr>
              <w:t>€200K–2M</w:t>
            </w:r>
          </w:p>
        </w:tc>
      </w:tr>
      <w:tr>
        <w:tc>
          <w:tcPr>
            <w:tcW w:type="dxa" w:w="2160"/>
            <w:shd w:fill="F0FDF4" w:val="clear"/>
          </w:tcPr>
          <w:p>
            <w:r>
              <w:rPr>
                <w:sz w:val="20"/>
              </w:rPr>
              <w:t>Philanthropic foundations</w:t>
            </w:r>
          </w:p>
        </w:tc>
        <w:tc>
          <w:tcPr>
            <w:tcW w:type="dxa" w:w="2160"/>
            <w:shd w:fill="F0FDF4" w:val="clear"/>
          </w:tcPr>
          <w:p>
            <w:r>
              <w:rPr>
                <w:sz w:val="20"/>
              </w:rPr>
              <w:t>~150</w:t>
            </w:r>
          </w:p>
        </w:tc>
        <w:tc>
          <w:tcPr>
            <w:tcW w:type="dxa" w:w="2160"/>
            <w:shd w:fill="F0FDF4" w:val="clear"/>
          </w:tcPr>
          <w:p>
            <w:r>
              <w:rPr>
                <w:sz w:val="20"/>
              </w:rPr>
              <w:t>€999–5K/yr</w:t>
            </w:r>
          </w:p>
        </w:tc>
        <w:tc>
          <w:tcPr>
            <w:tcW w:type="dxa" w:w="2160"/>
            <w:shd w:fill="F0FDF4" w:val="clear"/>
          </w:tcPr>
          <w:p>
            <w:r>
              <w:rPr>
                <w:sz w:val="20"/>
              </w:rPr>
              <w:t>€150K–750K</w:t>
            </w:r>
          </w:p>
        </w:tc>
      </w:tr>
      <w:tr>
        <w:tc>
          <w:tcPr>
            <w:tcW w:type="dxa" w:w="2160"/>
          </w:tcPr>
          <w:p>
            <w:r>
              <w:rPr>
                <w:sz w:val="20"/>
              </w:rPr>
              <w:t>Researchers/academics</w:t>
            </w:r>
          </w:p>
        </w:tc>
        <w:tc>
          <w:tcPr>
            <w:tcW w:type="dxa" w:w="2160"/>
          </w:tcPr>
          <w:p>
            <w:r>
              <w:rPr>
                <w:sz w:val="20"/>
              </w:rPr>
              <w:t>~500</w:t>
            </w:r>
          </w:p>
        </w:tc>
        <w:tc>
          <w:tcPr>
            <w:tcW w:type="dxa" w:w="2160"/>
          </w:tcPr>
          <w:p>
            <w:r>
              <w:rPr>
                <w:sz w:val="20"/>
              </w:rPr>
              <w:t>€199–499/yr</w:t>
            </w:r>
          </w:p>
        </w:tc>
        <w:tc>
          <w:tcPr>
            <w:tcW w:type="dxa" w:w="2160"/>
          </w:tcPr>
          <w:p>
            <w:r>
              <w:rPr>
                <w:sz w:val="20"/>
              </w:rPr>
              <w:t>€100K–250K</w:t>
            </w:r>
          </w:p>
        </w:tc>
      </w:tr>
      <w:tr>
        <w:tc>
          <w:tcPr>
            <w:tcW w:type="dxa" w:w="2160"/>
            <w:shd w:fill="F0FDF4" w:val="clear"/>
          </w:tcPr>
          <w:p>
            <w:r>
              <w:rPr>
                <w:sz w:val="20"/>
              </w:rPr>
              <w:t>Media/journalists</w:t>
            </w:r>
          </w:p>
        </w:tc>
        <w:tc>
          <w:tcPr>
            <w:tcW w:type="dxa" w:w="2160"/>
            <w:shd w:fill="F0FDF4" w:val="clear"/>
          </w:tcPr>
          <w:p>
            <w:r>
              <w:rPr>
                <w:sz w:val="20"/>
              </w:rPr>
              <w:t>~200</w:t>
            </w:r>
          </w:p>
        </w:tc>
        <w:tc>
          <w:tcPr>
            <w:tcW w:type="dxa" w:w="2160"/>
            <w:shd w:fill="F0FDF4" w:val="clear"/>
          </w:tcPr>
          <w:p>
            <w:r>
              <w:rPr>
                <w:sz w:val="20"/>
              </w:rPr>
              <w:t>€0–199/yr</w:t>
            </w:r>
          </w:p>
        </w:tc>
        <w:tc>
          <w:tcPr>
            <w:tcW w:type="dxa" w:w="2160"/>
            <w:shd w:fill="F0FDF4" w:val="clear"/>
          </w:tcPr>
          <w:p>
            <w:r>
              <w:rPr>
                <w:sz w:val="20"/>
              </w:rPr>
              <w:t>Free tier / PR value</w:t>
            </w:r>
          </w:p>
        </w:tc>
      </w:tr>
    </w:tbl>
    <w:p/>
    <w:p>
      <w:r>
        <w:rPr>
          <w:b/>
        </w:rPr>
        <w:t>Conservative Year 1 target: 500 paid subscribers at average €600/yr = €300,000 ARR.</w:t>
      </w:r>
    </w:p>
    <w:p>
      <w:r>
        <w:br w:type="page"/>
      </w:r>
    </w:p>
    <w:p>
      <w:pPr>
        <w:pStyle w:val="Heading1"/>
      </w:pPr>
      <w:r>
        <w:t>Revenue Model: Freemium SaaS</w:t>
      </w:r>
    </w:p>
    <w:p>
      <w:pPr>
        <w:pStyle w:val="Heading2"/>
      </w:pPr>
      <w:r>
        <w:t>Free: Public Access (no login)</w:t>
      </w:r>
    </w:p>
    <w:p>
      <w:r>
        <w:t>Search 21,183 organizations. Basic profile (name, sector, county, registration numbers). Income band (not exact figures). Purpose: drive traffic, build trust, own the SEO for Irish nonprofit data.</w:t>
      </w:r>
    </w:p>
    <w:p>
      <w:pPr>
        <w:pStyle w:val="Heading2"/>
      </w:pPr>
      <w:r>
        <w:t>Pro: €29/month (€299/year)</w:t>
      </w:r>
    </w:p>
    <w:p>
      <w:r>
        <w:t>For nonprofit staff, trustees, individual researchers. Full financial data with exact figures and income source breakdowns. State funding details. AI risk scores and transparency ratings. Downloadable PDF profiles. Advanced filters and search.</w:t>
      </w:r>
    </w:p>
    <w:p>
      <w:pPr>
        <w:pStyle w:val="Heading2"/>
      </w:pPr>
      <w:r>
        <w:t>Professional: €149/month (€1,499/year)</w:t>
      </w:r>
    </w:p>
    <w:p>
      <w:r>
        <w:t>For law firms, auditors, consultants, foundations. Everything in Pro plus: bulk CSV/Excel export, API access (1,000 calls/mo), sector benchmarking, comparative analytics, due diligence reports, priority support.</w:t>
      </w:r>
    </w:p>
    <w:p>
      <w:pPr>
        <w:pStyle w:val="Heading2"/>
      </w:pPr>
      <w:r>
        <w:t>Enterprise: €5,000–50,000/year</w:t>
      </w:r>
    </w:p>
    <w:p>
      <w:r>
        <w:t>For government departments and state agencies. Unlimited API, custom dashboards, bespoke analysis, dedicated account manager, data integration, SLA guarantees. Based on Benefacts’ own €50K/dept proposal.</w:t>
      </w:r>
    </w:p>
    <w:p>
      <w:pPr>
        <w:pStyle w:val="Heading2"/>
      </w:pPr>
      <w:r>
        <w:t>Data Licensing</w:t>
      </w:r>
    </w:p>
    <w:p>
      <w:r>
        <w:t>Full database: €10,000/yr. Sector datasets: €2,000–5,000. Historical packages: €5,000–15,000.</w:t>
      </w:r>
    </w:p>
    <w:p>
      <w:pPr>
        <w:pStyle w:val="Heading1"/>
      </w:pPr>
      <w:r>
        <w:t>Revenue Projections</w:t>
      </w:r>
    </w:p>
    <w:tbl>
      <w:tblPr>
        <w:tblW w:type="auto" w:w="0"/>
        <w:jc w:val="center"/>
        <w:tblLook w:firstColumn="1" w:firstRow="1" w:lastColumn="0" w:lastRow="0" w:noHBand="0" w:noVBand="1" w:val="04A0"/>
      </w:tblPr>
      <w:tblGrid>
        <w:gridCol w:w="2160"/>
        <w:gridCol w:w="2160"/>
        <w:gridCol w:w="2160"/>
        <w:gridCol w:w="2160"/>
      </w:tblGrid>
      <w:tr>
        <w:tc>
          <w:tcPr>
            <w:tcW w:type="dxa" w:w="2160"/>
            <w:shd w:fill="059669" w:val="clear"/>
          </w:tcPr>
          <w:p>
            <w:r>
              <w:rPr>
                <w:b/>
                <w:color w:val="FFFFFF"/>
                <w:sz w:val="20"/>
              </w:rPr>
            </w:r>
          </w:p>
        </w:tc>
        <w:tc>
          <w:tcPr>
            <w:tcW w:type="dxa" w:w="2160"/>
            <w:shd w:fill="059669" w:val="clear"/>
          </w:tcPr>
          <w:p>
            <w:r>
              <w:rPr>
                <w:b/>
                <w:color w:val="FFFFFF"/>
                <w:sz w:val="20"/>
              </w:rPr>
              <w:t>Year 1</w:t>
            </w:r>
          </w:p>
        </w:tc>
        <w:tc>
          <w:tcPr>
            <w:tcW w:type="dxa" w:w="2160"/>
            <w:shd w:fill="059669" w:val="clear"/>
          </w:tcPr>
          <w:p>
            <w:r>
              <w:rPr>
                <w:b/>
                <w:color w:val="FFFFFF"/>
                <w:sz w:val="20"/>
              </w:rPr>
              <w:t>Year 2</w:t>
            </w:r>
          </w:p>
        </w:tc>
        <w:tc>
          <w:tcPr>
            <w:tcW w:type="dxa" w:w="2160"/>
            <w:shd w:fill="059669" w:val="clear"/>
          </w:tcPr>
          <w:p>
            <w:r>
              <w:rPr>
                <w:b/>
                <w:color w:val="FFFFFF"/>
                <w:sz w:val="20"/>
              </w:rPr>
              <w:t>Year 3</w:t>
            </w:r>
          </w:p>
        </w:tc>
      </w:tr>
      <w:tr>
        <w:tc>
          <w:tcPr>
            <w:tcW w:type="dxa" w:w="2160"/>
          </w:tcPr>
          <w:p>
            <w:r>
              <w:rPr>
                <w:sz w:val="20"/>
              </w:rPr>
              <w:t>Pro subscribers</w:t>
            </w:r>
          </w:p>
        </w:tc>
        <w:tc>
          <w:tcPr>
            <w:tcW w:type="dxa" w:w="2160"/>
          </w:tcPr>
          <w:p>
            <w:r>
              <w:rPr>
                <w:sz w:val="20"/>
              </w:rPr>
              <w:t>300</w:t>
            </w:r>
          </w:p>
        </w:tc>
        <w:tc>
          <w:tcPr>
            <w:tcW w:type="dxa" w:w="2160"/>
          </w:tcPr>
          <w:p>
            <w:r>
              <w:rPr>
                <w:sz w:val="20"/>
              </w:rPr>
              <w:t>800</w:t>
            </w:r>
          </w:p>
        </w:tc>
        <w:tc>
          <w:tcPr>
            <w:tcW w:type="dxa" w:w="2160"/>
          </w:tcPr>
          <w:p>
            <w:r>
              <w:rPr>
                <w:sz w:val="20"/>
              </w:rPr>
              <w:t>2,000</w:t>
            </w:r>
          </w:p>
        </w:tc>
      </w:tr>
      <w:tr>
        <w:tc>
          <w:tcPr>
            <w:tcW w:type="dxa" w:w="2160"/>
            <w:shd w:fill="F0FDF4" w:val="clear"/>
          </w:tcPr>
          <w:p>
            <w:r>
              <w:rPr>
                <w:sz w:val="20"/>
              </w:rPr>
              <w:t>Pro revenue</w:t>
            </w:r>
          </w:p>
        </w:tc>
        <w:tc>
          <w:tcPr>
            <w:tcW w:type="dxa" w:w="2160"/>
            <w:shd w:fill="F0FDF4" w:val="clear"/>
          </w:tcPr>
          <w:p>
            <w:r>
              <w:rPr>
                <w:sz w:val="20"/>
              </w:rPr>
              <w:t>€89,700</w:t>
            </w:r>
          </w:p>
        </w:tc>
        <w:tc>
          <w:tcPr>
            <w:tcW w:type="dxa" w:w="2160"/>
            <w:shd w:fill="F0FDF4" w:val="clear"/>
          </w:tcPr>
          <w:p>
            <w:r>
              <w:rPr>
                <w:sz w:val="20"/>
              </w:rPr>
              <w:t>€239,200</w:t>
            </w:r>
          </w:p>
        </w:tc>
        <w:tc>
          <w:tcPr>
            <w:tcW w:type="dxa" w:w="2160"/>
            <w:shd w:fill="F0FDF4" w:val="clear"/>
          </w:tcPr>
          <w:p>
            <w:r>
              <w:rPr>
                <w:sz w:val="20"/>
              </w:rPr>
              <w:t>€598,000</w:t>
            </w:r>
          </w:p>
        </w:tc>
      </w:tr>
      <w:tr>
        <w:tc>
          <w:tcPr>
            <w:tcW w:type="dxa" w:w="2160"/>
          </w:tcPr>
          <w:p>
            <w:r>
              <w:rPr>
                <w:sz w:val="20"/>
              </w:rPr>
              <w:t>Professional subs</w:t>
            </w:r>
          </w:p>
        </w:tc>
        <w:tc>
          <w:tcPr>
            <w:tcW w:type="dxa" w:w="2160"/>
          </w:tcPr>
          <w:p>
            <w:r>
              <w:rPr>
                <w:sz w:val="20"/>
              </w:rPr>
              <w:t>30</w:t>
            </w:r>
          </w:p>
        </w:tc>
        <w:tc>
          <w:tcPr>
            <w:tcW w:type="dxa" w:w="2160"/>
          </w:tcPr>
          <w:p>
            <w:r>
              <w:rPr>
                <w:sz w:val="20"/>
              </w:rPr>
              <w:t>80</w:t>
            </w:r>
          </w:p>
        </w:tc>
        <w:tc>
          <w:tcPr>
            <w:tcW w:type="dxa" w:w="2160"/>
          </w:tcPr>
          <w:p>
            <w:r>
              <w:rPr>
                <w:sz w:val="20"/>
              </w:rPr>
              <w:t>200</w:t>
            </w:r>
          </w:p>
        </w:tc>
      </w:tr>
      <w:tr>
        <w:tc>
          <w:tcPr>
            <w:tcW w:type="dxa" w:w="2160"/>
            <w:shd w:fill="F0FDF4" w:val="clear"/>
          </w:tcPr>
          <w:p>
            <w:r>
              <w:rPr>
                <w:sz w:val="20"/>
              </w:rPr>
              <w:t>Professional revenue</w:t>
            </w:r>
          </w:p>
        </w:tc>
        <w:tc>
          <w:tcPr>
            <w:tcW w:type="dxa" w:w="2160"/>
            <w:shd w:fill="F0FDF4" w:val="clear"/>
          </w:tcPr>
          <w:p>
            <w:r>
              <w:rPr>
                <w:sz w:val="20"/>
              </w:rPr>
              <w:t>€44,970</w:t>
            </w:r>
          </w:p>
        </w:tc>
        <w:tc>
          <w:tcPr>
            <w:tcW w:type="dxa" w:w="2160"/>
            <w:shd w:fill="F0FDF4" w:val="clear"/>
          </w:tcPr>
          <w:p>
            <w:r>
              <w:rPr>
                <w:sz w:val="20"/>
              </w:rPr>
              <w:t>€119,920</w:t>
            </w:r>
          </w:p>
        </w:tc>
        <w:tc>
          <w:tcPr>
            <w:tcW w:type="dxa" w:w="2160"/>
            <w:shd w:fill="F0FDF4" w:val="clear"/>
          </w:tcPr>
          <w:p>
            <w:r>
              <w:rPr>
                <w:sz w:val="20"/>
              </w:rPr>
              <w:t>€299,800</w:t>
            </w:r>
          </w:p>
        </w:tc>
      </w:tr>
      <w:tr>
        <w:tc>
          <w:tcPr>
            <w:tcW w:type="dxa" w:w="2160"/>
          </w:tcPr>
          <w:p>
            <w:r>
              <w:rPr>
                <w:sz w:val="20"/>
              </w:rPr>
              <w:t>Enterprise contracts</w:t>
            </w:r>
          </w:p>
        </w:tc>
        <w:tc>
          <w:tcPr>
            <w:tcW w:type="dxa" w:w="2160"/>
          </w:tcPr>
          <w:p>
            <w:r>
              <w:rPr>
                <w:sz w:val="20"/>
              </w:rPr>
              <w:t>2</w:t>
            </w:r>
          </w:p>
        </w:tc>
        <w:tc>
          <w:tcPr>
            <w:tcW w:type="dxa" w:w="2160"/>
          </w:tcPr>
          <w:p>
            <w:r>
              <w:rPr>
                <w:sz w:val="20"/>
              </w:rPr>
              <w:t>5</w:t>
            </w:r>
          </w:p>
        </w:tc>
        <w:tc>
          <w:tcPr>
            <w:tcW w:type="dxa" w:w="2160"/>
          </w:tcPr>
          <w:p>
            <w:r>
              <w:rPr>
                <w:sz w:val="20"/>
              </w:rPr>
              <w:t>10</w:t>
            </w:r>
          </w:p>
        </w:tc>
      </w:tr>
      <w:tr>
        <w:tc>
          <w:tcPr>
            <w:tcW w:type="dxa" w:w="2160"/>
            <w:shd w:fill="F0FDF4" w:val="clear"/>
          </w:tcPr>
          <w:p>
            <w:r>
              <w:rPr>
                <w:sz w:val="20"/>
              </w:rPr>
              <w:t>Enterprise revenue</w:t>
            </w:r>
          </w:p>
        </w:tc>
        <w:tc>
          <w:tcPr>
            <w:tcW w:type="dxa" w:w="2160"/>
            <w:shd w:fill="F0FDF4" w:val="clear"/>
          </w:tcPr>
          <w:p>
            <w:r>
              <w:rPr>
                <w:sz w:val="20"/>
              </w:rPr>
              <w:t>€50,000</w:t>
            </w:r>
          </w:p>
        </w:tc>
        <w:tc>
          <w:tcPr>
            <w:tcW w:type="dxa" w:w="2160"/>
            <w:shd w:fill="F0FDF4" w:val="clear"/>
          </w:tcPr>
          <w:p>
            <w:r>
              <w:rPr>
                <w:sz w:val="20"/>
              </w:rPr>
              <w:t>€150,000</w:t>
            </w:r>
          </w:p>
        </w:tc>
        <w:tc>
          <w:tcPr>
            <w:tcW w:type="dxa" w:w="2160"/>
            <w:shd w:fill="F0FDF4" w:val="clear"/>
          </w:tcPr>
          <w:p>
            <w:r>
              <w:rPr>
                <w:sz w:val="20"/>
              </w:rPr>
              <w:t>€350,000</w:t>
            </w:r>
          </w:p>
        </w:tc>
      </w:tr>
      <w:tr>
        <w:tc>
          <w:tcPr>
            <w:tcW w:type="dxa" w:w="2160"/>
          </w:tcPr>
          <w:p>
            <w:r>
              <w:rPr>
                <w:sz w:val="20"/>
              </w:rPr>
              <w:t>Data licensing</w:t>
            </w:r>
          </w:p>
        </w:tc>
        <w:tc>
          <w:tcPr>
            <w:tcW w:type="dxa" w:w="2160"/>
          </w:tcPr>
          <w:p>
            <w:r>
              <w:rPr>
                <w:sz w:val="20"/>
              </w:rPr>
              <w:t>€20,000</w:t>
            </w:r>
          </w:p>
        </w:tc>
        <w:tc>
          <w:tcPr>
            <w:tcW w:type="dxa" w:w="2160"/>
          </w:tcPr>
          <w:p>
            <w:r>
              <w:rPr>
                <w:sz w:val="20"/>
              </w:rPr>
              <w:t>€60,000</w:t>
            </w:r>
          </w:p>
        </w:tc>
        <w:tc>
          <w:tcPr>
            <w:tcW w:type="dxa" w:w="2160"/>
          </w:tcPr>
          <w:p>
            <w:r>
              <w:rPr>
                <w:sz w:val="20"/>
              </w:rPr>
              <w:t>€120,000</w:t>
            </w:r>
          </w:p>
        </w:tc>
      </w:tr>
      <w:tr>
        <w:tc>
          <w:tcPr>
            <w:tcW w:type="dxa" w:w="2160"/>
            <w:shd w:fill="F0FDF4" w:val="clear"/>
          </w:tcPr>
          <w:p>
            <w:r>
              <w:rPr>
                <w:sz w:val="20"/>
              </w:rPr>
              <w:t>TOTAL ARR</w:t>
            </w:r>
          </w:p>
        </w:tc>
        <w:tc>
          <w:tcPr>
            <w:tcW w:type="dxa" w:w="2160"/>
            <w:shd w:fill="F0FDF4" w:val="clear"/>
          </w:tcPr>
          <w:p>
            <w:r>
              <w:rPr>
                <w:sz w:val="20"/>
              </w:rPr>
              <w:t>€204,670</w:t>
            </w:r>
          </w:p>
        </w:tc>
        <w:tc>
          <w:tcPr>
            <w:tcW w:type="dxa" w:w="2160"/>
            <w:shd w:fill="F0FDF4" w:val="clear"/>
          </w:tcPr>
          <w:p>
            <w:r>
              <w:rPr>
                <w:sz w:val="20"/>
              </w:rPr>
              <w:t>€569,120</w:t>
            </w:r>
          </w:p>
        </w:tc>
        <w:tc>
          <w:tcPr>
            <w:tcW w:type="dxa" w:w="2160"/>
            <w:shd w:fill="F0FDF4" w:val="clear"/>
          </w:tcPr>
          <w:p>
            <w:r>
              <w:rPr>
                <w:sz w:val="20"/>
              </w:rPr>
              <w:t>€1,367,800</w:t>
            </w:r>
          </w:p>
        </w:tc>
      </w:tr>
    </w:tbl>
    <w:p/>
    <w:p>
      <w:r>
        <w:t>Path to €1M+ ARR by Year 3 with 80%+ gross margins.</w:t>
      </w:r>
    </w:p>
    <w:p>
      <w:r>
        <w:br w:type="page"/>
      </w:r>
    </w:p>
    <w:p>
      <w:pPr>
        <w:pStyle w:val="Heading1"/>
      </w:pPr>
      <w:r>
        <w:t>Competitive Advantage</w:t>
      </w:r>
    </w:p>
    <w:p>
      <w:r>
        <w:t>No direct competitor exists. Benefacts is closed. The Charities Regulator publishes raw data but no analytics. The Wheel’s Fundingpoint lists opportunities, not actual disbursements. Our moat is the aggregated, AI-enriched dataset from 11 government sources.</w:t>
      </w:r>
    </w:p>
    <w:p>
      <w:pPr>
        <w:pStyle w:val="Heading2"/>
      </w:pPr>
      <w:r>
        <w:t>What We Do That Benefacts Never Did</w:t>
      </w:r>
    </w:p>
    <w:p>
      <w:pPr>
        <w:pStyle w:val="ListBullet"/>
      </w:pPr>
      <w:r>
        <w:t>AI-powered risk scores and transparency ratings</w:t>
      </w:r>
    </w:p>
    <w:p>
      <w:pPr>
        <w:pStyle w:val="ListBullet"/>
      </w:pPr>
      <w:r>
        <w:t>Narrative intelligence summaries from web research</w:t>
      </w:r>
    </w:p>
    <w:p>
      <w:pPr>
        <w:pStyle w:val="ListBullet"/>
      </w:pPr>
      <w:r>
        <w:t>Real-time data updates (Benefacts was annual)</w:t>
      </w:r>
    </w:p>
    <w:p>
      <w:pPr>
        <w:pStyle w:val="ListBullet"/>
      </w:pPr>
      <w:r>
        <w:t>Modern responsive web app</w:t>
      </w:r>
    </w:p>
    <w:p>
      <w:pPr>
        <w:pStyle w:val="ListBullet"/>
      </w:pPr>
      <w:r>
        <w:t>Transparent published pricing</w:t>
      </w:r>
    </w:p>
    <w:p>
      <w:pPr>
        <w:pStyle w:val="ListBullet"/>
      </w:pPr>
      <w:r>
        <w:t>API-first architecture</w:t>
      </w:r>
    </w:p>
    <w:p>
      <w:pPr>
        <w:pStyle w:val="Heading1"/>
      </w:pPr>
      <w:r>
        <w:t>Go-to-Market Strategy</w:t>
      </w:r>
    </w:p>
    <w:p>
      <w:pPr>
        <w:pStyle w:val="Heading2"/>
      </w:pPr>
      <w:r>
        <w:t>Phase 1: Launch (Months 1–3)</w:t>
      </w:r>
    </w:p>
    <w:p>
      <w:r>
        <w:t>Deploy free public search. Secure Patricia Quinn endorsement. PR push via Journal.ie and Irish Times. Partner with The Wheel for distribution.</w:t>
      </w:r>
    </w:p>
    <w:p>
      <w:pPr>
        <w:pStyle w:val="Heading2"/>
      </w:pPr>
      <w:r>
        <w:t>Phase 2: Monetise (Months 3–6)</w:t>
      </w:r>
    </w:p>
    <w:p>
      <w:r>
        <w:t>Launch paid tiers with Stripe. Monthly sector reports as content marketing. Outreach to law firms and auditors. First government pilots.</w:t>
      </w:r>
    </w:p>
    <w:p>
      <w:pPr>
        <w:pStyle w:val="Heading2"/>
      </w:pPr>
      <w:r>
        <w:t>Phase 3: Scale (Months 6–12)</w:t>
      </w:r>
    </w:p>
    <w:p>
      <w:r>
        <w:t>API launch. Academic partnerships. Enterprise expansion. International feasibility (UK Charity Commission).</w:t>
      </w:r>
    </w:p>
    <w:p>
      <w:pPr>
        <w:pStyle w:val="Heading1"/>
      </w:pPr>
      <w:r>
        <w:t>Cost Structure</w:t>
      </w:r>
    </w:p>
    <w:tbl>
      <w:tblPr>
        <w:tblW w:type="auto" w:w="0"/>
        <w:jc w:val="center"/>
        <w:tblLook w:firstColumn="1" w:firstRow="1" w:lastColumn="0" w:lastRow="0" w:noHBand="0" w:noVBand="1" w:val="04A0"/>
      </w:tblPr>
      <w:tblGrid>
        <w:gridCol w:w="2880"/>
        <w:gridCol w:w="2880"/>
        <w:gridCol w:w="2880"/>
      </w:tblGrid>
      <w:tr>
        <w:tc>
          <w:tcPr>
            <w:tcW w:type="dxa" w:w="2880"/>
            <w:shd w:fill="059669" w:val="clear"/>
          </w:tcPr>
          <w:p>
            <w:r>
              <w:rPr>
                <w:b/>
                <w:color w:val="FFFFFF"/>
                <w:sz w:val="20"/>
              </w:rPr>
              <w:t>Item</w:t>
            </w:r>
          </w:p>
        </w:tc>
        <w:tc>
          <w:tcPr>
            <w:tcW w:type="dxa" w:w="2880"/>
            <w:shd w:fill="059669" w:val="clear"/>
          </w:tcPr>
          <w:p>
            <w:r>
              <w:rPr>
                <w:b/>
                <w:color w:val="FFFFFF"/>
                <w:sz w:val="20"/>
              </w:rPr>
              <w:t>Monthly</w:t>
            </w:r>
          </w:p>
        </w:tc>
        <w:tc>
          <w:tcPr>
            <w:tcW w:type="dxa" w:w="2880"/>
            <w:shd w:fill="059669" w:val="clear"/>
          </w:tcPr>
          <w:p>
            <w:r>
              <w:rPr>
                <w:b/>
                <w:color w:val="FFFFFF"/>
                <w:sz w:val="20"/>
              </w:rPr>
              <w:t>Annual</w:t>
            </w:r>
          </w:p>
        </w:tc>
      </w:tr>
      <w:tr>
        <w:tc>
          <w:tcPr>
            <w:tcW w:type="dxa" w:w="2880"/>
          </w:tcPr>
          <w:p>
            <w:r>
              <w:rPr>
                <w:sz w:val="20"/>
              </w:rPr>
              <w:t>Hosting (Vercel + Supabase)</w:t>
            </w:r>
          </w:p>
        </w:tc>
        <w:tc>
          <w:tcPr>
            <w:tcW w:type="dxa" w:w="2880"/>
          </w:tcPr>
          <w:p>
            <w:r>
              <w:rPr>
                <w:sz w:val="20"/>
              </w:rPr>
              <w:t>€100</w:t>
            </w:r>
          </w:p>
        </w:tc>
        <w:tc>
          <w:tcPr>
            <w:tcW w:type="dxa" w:w="2880"/>
          </w:tcPr>
          <w:p>
            <w:r>
              <w:rPr>
                <w:sz w:val="20"/>
              </w:rPr>
              <w:t>€1,200</w:t>
            </w:r>
          </w:p>
        </w:tc>
      </w:tr>
      <w:tr>
        <w:tc>
          <w:tcPr>
            <w:tcW w:type="dxa" w:w="2880"/>
            <w:shd w:fill="F0FDF4" w:val="clear"/>
          </w:tcPr>
          <w:p>
            <w:r>
              <w:rPr>
                <w:sz w:val="20"/>
              </w:rPr>
              <w:t>AI APIs (Perplexity + GPT)</w:t>
            </w:r>
          </w:p>
        </w:tc>
        <w:tc>
          <w:tcPr>
            <w:tcW w:type="dxa" w:w="2880"/>
            <w:shd w:fill="F0FDF4" w:val="clear"/>
          </w:tcPr>
          <w:p>
            <w:r>
              <w:rPr>
                <w:sz w:val="20"/>
              </w:rPr>
              <w:t>€200–500</w:t>
            </w:r>
          </w:p>
        </w:tc>
        <w:tc>
          <w:tcPr>
            <w:tcW w:type="dxa" w:w="2880"/>
            <w:shd w:fill="F0FDF4" w:val="clear"/>
          </w:tcPr>
          <w:p>
            <w:r>
              <w:rPr>
                <w:sz w:val="20"/>
              </w:rPr>
              <w:t>€2,400–6,000</w:t>
            </w:r>
          </w:p>
        </w:tc>
      </w:tr>
      <w:tr>
        <w:tc>
          <w:tcPr>
            <w:tcW w:type="dxa" w:w="2880"/>
          </w:tcPr>
          <w:p>
            <w:r>
              <w:rPr>
                <w:sz w:val="20"/>
              </w:rPr>
              <w:t>Domain + SSL</w:t>
            </w:r>
          </w:p>
        </w:tc>
        <w:tc>
          <w:tcPr>
            <w:tcW w:type="dxa" w:w="2880"/>
          </w:tcPr>
          <w:p>
            <w:r>
              <w:rPr>
                <w:sz w:val="20"/>
              </w:rPr>
              <w:t>€10</w:t>
            </w:r>
          </w:p>
        </w:tc>
        <w:tc>
          <w:tcPr>
            <w:tcW w:type="dxa" w:w="2880"/>
          </w:tcPr>
          <w:p>
            <w:r>
              <w:rPr>
                <w:sz w:val="20"/>
              </w:rPr>
              <w:t>€120</w:t>
            </w:r>
          </w:p>
        </w:tc>
      </w:tr>
      <w:tr>
        <w:tc>
          <w:tcPr>
            <w:tcW w:type="dxa" w:w="2880"/>
            <w:shd w:fill="F0FDF4" w:val="clear"/>
          </w:tcPr>
          <w:p>
            <w:r>
              <w:rPr>
                <w:sz w:val="20"/>
              </w:rPr>
              <w:t>Stripe fees</w:t>
            </w:r>
          </w:p>
        </w:tc>
        <w:tc>
          <w:tcPr>
            <w:tcW w:type="dxa" w:w="2880"/>
            <w:shd w:fill="F0FDF4" w:val="clear"/>
          </w:tcPr>
          <w:p>
            <w:r>
              <w:rPr>
                <w:sz w:val="20"/>
              </w:rPr>
              <w:t>~3%</w:t>
            </w:r>
          </w:p>
        </w:tc>
        <w:tc>
          <w:tcPr>
            <w:tcW w:type="dxa" w:w="2880"/>
            <w:shd w:fill="F0FDF4" w:val="clear"/>
          </w:tcPr>
          <w:p>
            <w:r>
              <w:rPr>
                <w:sz w:val="20"/>
              </w:rPr>
              <w:t>~3%</w:t>
            </w:r>
          </w:p>
        </w:tc>
      </w:tr>
      <w:tr>
        <w:tc>
          <w:tcPr>
            <w:tcW w:type="dxa" w:w="2880"/>
          </w:tcPr>
          <w:p>
            <w:r>
              <w:rPr>
                <w:sz w:val="20"/>
              </w:rPr>
              <w:t>TOTAL FIXED</w:t>
            </w:r>
          </w:p>
        </w:tc>
        <w:tc>
          <w:tcPr>
            <w:tcW w:type="dxa" w:w="2880"/>
          </w:tcPr>
          <w:p>
            <w:r>
              <w:rPr>
                <w:sz w:val="20"/>
              </w:rPr>
              <w:t>~€400/mo</w:t>
            </w:r>
          </w:p>
        </w:tc>
        <w:tc>
          <w:tcPr>
            <w:tcW w:type="dxa" w:w="2880"/>
          </w:tcPr>
          <w:p>
            <w:r>
              <w:rPr>
                <w:sz w:val="20"/>
              </w:rPr>
              <w:t>~€5,000/yr</w:t>
            </w:r>
          </w:p>
        </w:tc>
      </w:tr>
    </w:tbl>
    <w:p/>
    <w:p>
      <w:r>
        <w:t>Profitable from 20 Pro subscribers. Benefacts needed €1.5M+ annual funding. We need near zero.</w:t>
      </w:r>
    </w:p>
    <w:p>
      <w:r>
        <w:br w:type="page"/>
      </w:r>
    </w:p>
    <w:p>
      <w:pPr>
        <w:pStyle w:val="Heading1"/>
      </w:pPr>
      <w:r>
        <w:t>Data Assets (March 2026)</w:t>
      </w:r>
    </w:p>
    <w:tbl>
      <w:tblPr>
        <w:tblW w:type="auto" w:w="0"/>
        <w:jc w:val="center"/>
        <w:tblLook w:firstColumn="1" w:firstRow="1" w:lastColumn="0" w:lastRow="0" w:noHBand="0" w:noVBand="1" w:val="04A0"/>
      </w:tblPr>
      <w:tblGrid>
        <w:gridCol w:w="2880"/>
        <w:gridCol w:w="2880"/>
        <w:gridCol w:w="2880"/>
      </w:tblGrid>
      <w:tr>
        <w:tc>
          <w:tcPr>
            <w:tcW w:type="dxa" w:w="2880"/>
            <w:shd w:fill="059669" w:val="clear"/>
          </w:tcPr>
          <w:p>
            <w:r>
              <w:rPr>
                <w:b/>
                <w:color w:val="FFFFFF"/>
                <w:sz w:val="20"/>
              </w:rPr>
              <w:t>Source</w:t>
            </w:r>
          </w:p>
        </w:tc>
        <w:tc>
          <w:tcPr>
            <w:tcW w:type="dxa" w:w="2880"/>
            <w:shd w:fill="059669" w:val="clear"/>
          </w:tcPr>
          <w:p>
            <w:r>
              <w:rPr>
                <w:b/>
                <w:color w:val="FFFFFF"/>
                <w:sz w:val="20"/>
              </w:rPr>
              <w:t>Records</w:t>
            </w:r>
          </w:p>
        </w:tc>
        <w:tc>
          <w:tcPr>
            <w:tcW w:type="dxa" w:w="2880"/>
            <w:shd w:fill="059669" w:val="clear"/>
          </w:tcPr>
          <w:p>
            <w:r>
              <w:rPr>
                <w:b/>
                <w:color w:val="FFFFFF"/>
                <w:sz w:val="20"/>
              </w:rPr>
              <w:t>Status</w:t>
            </w:r>
          </w:p>
        </w:tc>
      </w:tr>
      <w:tr>
        <w:tc>
          <w:tcPr>
            <w:tcW w:type="dxa" w:w="2880"/>
          </w:tcPr>
          <w:p>
            <w:r>
              <w:rPr>
                <w:sz w:val="20"/>
              </w:rPr>
              <w:t>Benefacts Directory</w:t>
            </w:r>
          </w:p>
        </w:tc>
        <w:tc>
          <w:tcPr>
            <w:tcW w:type="dxa" w:w="2880"/>
          </w:tcPr>
          <w:p>
            <w:r>
              <w:rPr>
                <w:sz w:val="20"/>
              </w:rPr>
              <w:t>21,183</w:t>
            </w:r>
          </w:p>
        </w:tc>
        <w:tc>
          <w:tcPr>
            <w:tcW w:type="dxa" w:w="2880"/>
          </w:tcPr>
          <w:p>
            <w:r>
              <w:rPr>
                <w:sz w:val="20"/>
              </w:rPr>
              <w:t>Loaded</w:t>
            </w:r>
          </w:p>
        </w:tc>
      </w:tr>
      <w:tr>
        <w:tc>
          <w:tcPr>
            <w:tcW w:type="dxa" w:w="2880"/>
            <w:shd w:fill="F0FDF4" w:val="clear"/>
          </w:tcPr>
          <w:p>
            <w:r>
              <w:rPr>
                <w:sz w:val="20"/>
              </w:rPr>
              <w:t>Charities Regulator</w:t>
            </w:r>
          </w:p>
        </w:tc>
        <w:tc>
          <w:tcPr>
            <w:tcW w:type="dxa" w:w="2880"/>
            <w:shd w:fill="F0FDF4" w:val="clear"/>
          </w:tcPr>
          <w:p>
            <w:r>
              <w:rPr>
                <w:sz w:val="20"/>
              </w:rPr>
              <w:t>14,420</w:t>
            </w:r>
          </w:p>
        </w:tc>
        <w:tc>
          <w:tcPr>
            <w:tcW w:type="dxa" w:w="2880"/>
            <w:shd w:fill="F0FDF4" w:val="clear"/>
          </w:tcPr>
          <w:p>
            <w:r>
              <w:rPr>
                <w:sz w:val="20"/>
              </w:rPr>
              <w:t>Loaded</w:t>
            </w:r>
          </w:p>
        </w:tc>
      </w:tr>
      <w:tr>
        <w:tc>
          <w:tcPr>
            <w:tcW w:type="dxa" w:w="2880"/>
          </w:tcPr>
          <w:p>
            <w:r>
              <w:rPr>
                <w:sz w:val="20"/>
              </w:rPr>
              <w:t>Annual Reports</w:t>
            </w:r>
          </w:p>
        </w:tc>
        <w:tc>
          <w:tcPr>
            <w:tcW w:type="dxa" w:w="2880"/>
          </w:tcPr>
          <w:p>
            <w:r>
              <w:rPr>
                <w:sz w:val="20"/>
              </w:rPr>
              <w:t>82,571</w:t>
            </w:r>
          </w:p>
        </w:tc>
        <w:tc>
          <w:tcPr>
            <w:tcW w:type="dxa" w:w="2880"/>
          </w:tcPr>
          <w:p>
            <w:r>
              <w:rPr>
                <w:sz w:val="20"/>
              </w:rPr>
              <w:t>Loaded</w:t>
            </w:r>
          </w:p>
        </w:tc>
      </w:tr>
      <w:tr>
        <w:tc>
          <w:tcPr>
            <w:tcW w:type="dxa" w:w="2880"/>
            <w:shd w:fill="F0FDF4" w:val="clear"/>
          </w:tcPr>
          <w:p>
            <w:r>
              <w:rPr>
                <w:sz w:val="20"/>
              </w:rPr>
              <w:t>State Funding</w:t>
            </w:r>
          </w:p>
        </w:tc>
        <w:tc>
          <w:tcPr>
            <w:tcW w:type="dxa" w:w="2880"/>
            <w:shd w:fill="F0FDF4" w:val="clear"/>
          </w:tcPr>
          <w:p>
            <w:r>
              <w:rPr>
                <w:sz w:val="20"/>
              </w:rPr>
              <w:t>3,425</w:t>
            </w:r>
          </w:p>
        </w:tc>
        <w:tc>
          <w:tcPr>
            <w:tcW w:type="dxa" w:w="2880"/>
            <w:shd w:fill="F0FDF4" w:val="clear"/>
          </w:tcPr>
          <w:p>
            <w:r>
              <w:rPr>
                <w:sz w:val="20"/>
              </w:rPr>
              <w:t>Loaded</w:t>
            </w:r>
          </w:p>
        </w:tc>
      </w:tr>
      <w:tr>
        <w:tc>
          <w:tcPr>
            <w:tcW w:type="dxa" w:w="2880"/>
          </w:tcPr>
          <w:p>
            <w:r>
              <w:rPr>
                <w:sz w:val="20"/>
              </w:rPr>
              <w:t>CRO Companies</w:t>
            </w:r>
          </w:p>
        </w:tc>
        <w:tc>
          <w:tcPr>
            <w:tcW w:type="dxa" w:w="2880"/>
          </w:tcPr>
          <w:p>
            <w:r>
              <w:rPr>
                <w:sz w:val="20"/>
              </w:rPr>
              <w:t>5,483</w:t>
            </w:r>
          </w:p>
        </w:tc>
        <w:tc>
          <w:tcPr>
            <w:tcW w:type="dxa" w:w="2880"/>
          </w:tcPr>
          <w:p>
            <w:r>
              <w:rPr>
                <w:sz w:val="20"/>
              </w:rPr>
              <w:t>Loaded</w:t>
            </w:r>
          </w:p>
        </w:tc>
      </w:tr>
      <w:tr>
        <w:tc>
          <w:tcPr>
            <w:tcW w:type="dxa" w:w="2880"/>
            <w:shd w:fill="F0FDF4" w:val="clear"/>
          </w:tcPr>
          <w:p>
            <w:r>
              <w:rPr>
                <w:sz w:val="20"/>
              </w:rPr>
              <w:t>Revenue Commissioners</w:t>
            </w:r>
          </w:p>
        </w:tc>
        <w:tc>
          <w:tcPr>
            <w:tcW w:type="dxa" w:w="2880"/>
            <w:shd w:fill="F0FDF4" w:val="clear"/>
          </w:tcPr>
          <w:p>
            <w:r>
              <w:rPr>
                <w:sz w:val="20"/>
              </w:rPr>
              <w:t>3,136</w:t>
            </w:r>
          </w:p>
        </w:tc>
        <w:tc>
          <w:tcPr>
            <w:tcW w:type="dxa" w:w="2880"/>
            <w:shd w:fill="F0FDF4" w:val="clear"/>
          </w:tcPr>
          <w:p>
            <w:r>
              <w:rPr>
                <w:sz w:val="20"/>
              </w:rPr>
              <w:t>Loaded</w:t>
            </w:r>
          </w:p>
        </w:tc>
      </w:tr>
      <w:tr>
        <w:tc>
          <w:tcPr>
            <w:tcW w:type="dxa" w:w="2880"/>
          </w:tcPr>
          <w:p>
            <w:r>
              <w:rPr>
                <w:sz w:val="20"/>
              </w:rPr>
              <w:t>Dept of Education</w:t>
            </w:r>
          </w:p>
        </w:tc>
        <w:tc>
          <w:tcPr>
            <w:tcW w:type="dxa" w:w="2880"/>
          </w:tcPr>
          <w:p>
            <w:r>
              <w:rPr>
                <w:sz w:val="20"/>
              </w:rPr>
              <w:t>100,644</w:t>
            </w:r>
          </w:p>
        </w:tc>
        <w:tc>
          <w:tcPr>
            <w:tcW w:type="dxa" w:w="2880"/>
          </w:tcPr>
          <w:p>
            <w:r>
              <w:rPr>
                <w:sz w:val="20"/>
              </w:rPr>
              <w:t>Loaded</w:t>
            </w:r>
          </w:p>
        </w:tc>
      </w:tr>
      <w:tr>
        <w:tc>
          <w:tcPr>
            <w:tcW w:type="dxa" w:w="2880"/>
            <w:shd w:fill="F0FDF4" w:val="clear"/>
          </w:tcPr>
          <w:p>
            <w:r>
              <w:rPr>
                <w:sz w:val="20"/>
              </w:rPr>
              <w:t>PPNs</w:t>
            </w:r>
          </w:p>
        </w:tc>
        <w:tc>
          <w:tcPr>
            <w:tcW w:type="dxa" w:w="2880"/>
            <w:shd w:fill="F0FDF4" w:val="clear"/>
          </w:tcPr>
          <w:p>
            <w:r>
              <w:rPr>
                <w:sz w:val="20"/>
              </w:rPr>
              <w:t>1,130,323</w:t>
            </w:r>
          </w:p>
        </w:tc>
        <w:tc>
          <w:tcPr>
            <w:tcW w:type="dxa" w:w="2880"/>
            <w:shd w:fill="F0FDF4" w:val="clear"/>
          </w:tcPr>
          <w:p>
            <w:r>
              <w:rPr>
                <w:sz w:val="20"/>
              </w:rPr>
              <w:t>Loaded</w:t>
            </w:r>
          </w:p>
        </w:tc>
      </w:tr>
      <w:tr>
        <w:tc>
          <w:tcPr>
            <w:tcW w:type="dxa" w:w="2880"/>
          </w:tcPr>
          <w:p>
            <w:r>
              <w:rPr>
                <w:sz w:val="20"/>
              </w:rPr>
              <w:t>Sport Ireland</w:t>
            </w:r>
          </w:p>
        </w:tc>
        <w:tc>
          <w:tcPr>
            <w:tcW w:type="dxa" w:w="2880"/>
          </w:tcPr>
          <w:p>
            <w:r>
              <w:rPr>
                <w:sz w:val="20"/>
              </w:rPr>
              <w:t>60,068</w:t>
            </w:r>
          </w:p>
        </w:tc>
        <w:tc>
          <w:tcPr>
            <w:tcW w:type="dxa" w:w="2880"/>
          </w:tcPr>
          <w:p>
            <w:r>
              <w:rPr>
                <w:sz w:val="20"/>
              </w:rPr>
              <w:t>Loaded</w:t>
            </w:r>
          </w:p>
        </w:tc>
      </w:tr>
      <w:tr>
        <w:tc>
          <w:tcPr>
            <w:tcW w:type="dxa" w:w="2880"/>
            <w:shd w:fill="F0FDF4" w:val="clear"/>
          </w:tcPr>
          <w:p>
            <w:r>
              <w:rPr>
                <w:sz w:val="20"/>
              </w:rPr>
              <w:t>Arts Council</w:t>
            </w:r>
          </w:p>
        </w:tc>
        <w:tc>
          <w:tcPr>
            <w:tcW w:type="dxa" w:w="2880"/>
            <w:shd w:fill="F0FDF4" w:val="clear"/>
          </w:tcPr>
          <w:p>
            <w:r>
              <w:rPr>
                <w:sz w:val="20"/>
              </w:rPr>
              <w:t>2,161</w:t>
            </w:r>
          </w:p>
        </w:tc>
        <w:tc>
          <w:tcPr>
            <w:tcW w:type="dxa" w:w="2880"/>
            <w:shd w:fill="F0FDF4" w:val="clear"/>
          </w:tcPr>
          <w:p>
            <w:r>
              <w:rPr>
                <w:sz w:val="20"/>
              </w:rPr>
              <w:t>Loaded</w:t>
            </w:r>
          </w:p>
        </w:tc>
      </w:tr>
      <w:tr>
        <w:tc>
          <w:tcPr>
            <w:tcW w:type="dxa" w:w="2880"/>
          </w:tcPr>
          <w:p>
            <w:r>
              <w:rPr>
                <w:sz w:val="20"/>
              </w:rPr>
              <w:t>TOTAL</w:t>
            </w:r>
          </w:p>
        </w:tc>
        <w:tc>
          <w:tcPr>
            <w:tcW w:type="dxa" w:w="2880"/>
          </w:tcPr>
          <w:p>
            <w:r>
              <w:rPr>
                <w:sz w:val="20"/>
              </w:rPr>
              <w:t>1,423,414</w:t>
            </w:r>
          </w:p>
        </w:tc>
        <w:tc>
          <w:tcPr>
            <w:tcW w:type="dxa" w:w="2880"/>
          </w:tcPr>
          <w:p>
            <w:r>
              <w:rPr>
                <w:sz w:val="20"/>
              </w:rPr>
              <w:t>11/12 sources</w:t>
            </w:r>
          </w:p>
        </w:tc>
      </w:tr>
    </w:tbl>
    <w:p>
      <w:pPr>
        <w:pStyle w:val="Heading1"/>
      </w:pPr>
      <w:r>
        <w:t>Immediate Next Steps</w:t>
      </w:r>
    </w:p>
    <w:p>
      <w:r>
        <w:t>1. Deploy to openbenefacts.ie</w:t>
      </w:r>
    </w:p>
    <w:p>
      <w:r>
        <w:t>2. Meet Patricia Quinn — demo the platform</w:t>
      </w:r>
    </w:p>
    <w:p>
      <w:r>
        <w:t>3. Implement Stripe billing</w:t>
      </w:r>
    </w:p>
    <w:p>
      <w:r>
        <w:t>4. PR launch (Journal.ie, Irish Times, nonprofit media)</w:t>
      </w:r>
    </w:p>
    <w:p>
      <w:r>
        <w:t>5. First 3 Enterprise pilot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5966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