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OpenBenefacts</w:t>
      </w:r>
    </w:p>
    <w:p>
      <w:pPr>
        <w:spacing w:after="400"/>
        <w:jc w:val="center"/>
      </w:pPr>
      <w:r>
        <w:rPr>
          <w:rFonts w:ascii="Arial" w:cs="Arial" w:eastAsia="Arial" w:hAnsi="Arial"/>
          <w:color w:val="2D6A4F"/>
          <w:sz w:val="36"/>
          <w:szCs w:val="36"/>
        </w:rPr>
        <w:t xml:space="preserve">Production System Architecture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modern, open replacement for Benefacts.ie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—  March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 for: Mark McGrory, Staydia Sports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OpenBenefacts is a modern transparency platform that maps funding relationships between Irish government bodies and nonprofit organisations. It replaces the functionality of Benefacts.ie (closed 2022) with automated data collection, intelligent entity matching, and a modern web interface.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production architecture: a Supabase-backed system with automated scrapers, a data validation pipeline, and a React frontend deployed on Vercel.</w:t>
      </w:r>
    </w:p>
    <w:p>
      <w:pPr>
        <w:pStyle w:val="Heading2"/>
      </w:pPr>
      <w:r>
        <w:rPr>
          <w:rFonts w:ascii="Arial" w:cs="Arial" w:eastAsia="Arial" w:hAnsi="Arial"/>
        </w:rPr>
        <w:t xml:space="preserve">What Benefacts Was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34,000+ Irish nonprofits tracked across 100+ data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updates from 9 regulatory sources (CRO, Charities Regulator, Revenue, PPNs)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Financial data, governance, funding relationships, compliance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10,000 monthly users: journalists, researchers, government, nonprofits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access, funded by €8.9M in government and philanthropic grants (2015-2022)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Closed March 2022 when government withdrew funding — no replacement exists</w:t>
      </w:r>
    </w:p>
    <w:p>
      <w:pPr>
        <w:pStyle w:val="Heading2"/>
      </w:pPr>
      <w:r>
        <w:rPr>
          <w:rFonts w:ascii="Arial" w:cs="Arial" w:eastAsia="Arial" w:hAnsi="Arial"/>
        </w:rPr>
        <w:t xml:space="preserve">What OpenBenefacts Delivers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scraping of 12+ government funding sources (not manual data entry)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data freshness tracking per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Intelligent entity matching with confidence scoring (replacing Benefacts’ manual matching)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Modern React/Vite frontend with search, filtering, and data visualisation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backend with Row Level Security for API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Scheduled scraper runs with failure alerting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validation agent that flags anomalies before they reach production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System 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High-Level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consists of five major components that operate independently but share a common Supabase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Scrapers (Python)
• Arts Council
• Sport Ireland
• Tusla
• HSE
• Pobal
• CRO API
• Charities Regulator
• Revenue
• Dept of Education
• data.gov.ie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Agent
• Anomaly detection
• Entity matching
• Deduplication
• Confidence scoring
• Human review queue
• Data freshness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(React/Vite)
• Search &amp; filter
• Org profiles
• Funder directory
• Data visualisation
• API (Supabase)
• Export/download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components connect to Supabase (PostgreSQL + Auth + Storage + Realtime).</w:t>
      </w:r>
    </w:p>
    <w:p>
      <w:pPr>
        <w:pStyle w:val="Heading2"/>
      </w:pPr>
      <w:r>
        <w:rPr>
          <w:rFonts w:ascii="Arial" w:cs="Arial" w:eastAsia="Arial" w:hAnsi="Arial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+ Tailwind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built, fast, modern. Deployed on Vercel.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generous. Built-in auth, RLS, realtime, REST API. No server to manage.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Scrapers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requests/PyMuPDF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working for 5 funders. Proven patterns for FacetWP, PDFs, HTML tables.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/ Cron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reliable, built-in secrets management. Runs scrapers on schedule.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Agent (Python)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anomaly detection and entity matching. Flags issues for human review.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deployed. Free tier handles traffic. Edge functions if needed.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 + Email alerts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Built-in. Scraper failures trigger email alerts via GitHub Actions.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Database Schema (Supabase)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database normalises what is currently a 10MB inline JSON file into proper relational tables with foreign keys, indexes, and Row Level Security.</w:t>
      </w:r>
    </w:p>
    <w:p>
      <w:pPr>
        <w:pStyle w:val="Heading2"/>
      </w:pPr>
      <w:r>
        <w:rPr>
          <w:rFonts w:ascii="Arial" w:cs="Arial" w:eastAsia="Arial" w:hAnsi="Arial"/>
        </w:rPr>
        <w:t xml:space="preserve">Core Tables</w:t>
      </w:r>
    </w:p>
    <w:p>
      <w:pPr>
        <w:pStyle w:val="Heading3"/>
      </w:pPr>
      <w:r>
        <w:rPr>
          <w:rFonts w:ascii="Arial" w:cs="Arial" w:eastAsia="Arial" w:hAnsi="Arial"/>
        </w:rPr>
        <w:t xml:space="preserve">organisations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central table. One row per legal entity.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(auto-generated)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registered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name_normalised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Lowercase, stripped suffixes (CLG, Ltd). For matching.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also_known_as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names, abbreviations, trading names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charity_number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RCN from Charities Regulator (unique if present)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 Registration Office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revenue_chy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Commissioners CHY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sector classification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Subsector classification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county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registered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eircode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Irish postcode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governing_form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CLG, Trust, Unincorporated,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date_incorporated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CRO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dissolved, deregistered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first added to OpenBenefacts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data refresh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financials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Annual financial data. One row per organisation per year. Sourced from Charities Regulator annual reports and CRO filings.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organisations.id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year (2018–2026)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gross_income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income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gross_expenditure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expenditure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government_income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from government sources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donations_income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from donations/fundraising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trading_income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Earned/commercial income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other_income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income sources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volunteers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total_assets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sheet total assets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net_assets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 minus liabilities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this data came from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link to source document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funding_grants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Individual grant records. One row per grant from a funder to an organisation. This is the core of the funder-recipient mapping.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organisations.id (can be null if unmatched)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funders.id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recipient_name_raw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name as it appeared in source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amount in euros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the grant was awarded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 programme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match_confidence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0–1.0 confidence that org_id is correct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exact, fuzzy, manual, charity_number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a human confirmed this match?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original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scraped_at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this record was collected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funders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Government departments and agencies that distribute public funding.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Government, Agency, EU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website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scraper_id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scraper collects this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last_scraped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data was last successfully collected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scrape_frequency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daily, weekly, monthly, annual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Supporting Tables</w:t>
      </w:r>
    </w:p>
    <w:p>
      <w:pPr>
        <w:pStyle w:val="Heading3"/>
      </w:pPr>
      <w:r>
        <w:rPr>
          <w:rFonts w:ascii="Arial" w:cs="Arial" w:eastAsia="Arial" w:hAnsi="Arial"/>
        </w:rPr>
        <w:t xml:space="preserve">entity_matches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matching resolution table. When a raw name from a scraper is matched to an organisation, the match is recorded here with confidence scoring. Low-confidence matches enter the review queue.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raw_name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as it appeared in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matched_org_id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match in organisations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0–1.0 match confidence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exact, fuzzy_90, charity_number, cro_number, manual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unreviewed, user email if manually 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match was 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source_funder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funder dataset this name came from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scraper_runs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Audit log of every scraper execution. Used for monitoring, debugging, and data freshness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scraper_id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arts_council, sport_ireland, tusla,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start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finished_at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end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success, partial,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records_found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records scraped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records_new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records not previously seen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records_updated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records with changed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details if failed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Data Collection Pipeline</w:t>
      </w:r>
    </w:p>
    <w:p>
      <w:pPr>
        <w:pStyle w:val="Heading2"/>
      </w:pPr>
      <w:r>
        <w:rPr>
          <w:rFonts w:ascii="Arial" w:cs="Arial" w:eastAsia="Arial" w:hAnsi="Arial"/>
        </w:rPr>
        <w:t xml:space="preserve">Data Sources and Scraper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200"/>
        <w:gridCol w:w="14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Arts Council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FacetWP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9,667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Sport Ireland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Tusla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1,523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Pobal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Charities Regulator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~14,400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(CHY)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~3,100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Dept of Education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Dept of Housing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PDF/HTML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~950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Dept Foreign Affairs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~385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Scraper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scraper follows a standard pattern: fetch source data, parse into normalised records, validate, then upsert into Supabase. Scrapers run as GitHub Actions on a cron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scraper is a standalone Python script with a common interface: scrape() returns a list of {org_name, amount, year, programme, source_url} dicts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Scrapers write to the funding_grants table via Supabase Python client (supabase-py)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run is logged to scraper_runs for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 scraper fails, GitHub Actions sends an email alert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Scrapers are idempotent: running the same scraper twice produces the same result (upsert on org_name + funder + year + programme)</w:t>
      </w:r>
    </w:p>
    <w:p>
      <w:pPr>
        <w:pStyle w:val="Heading2"/>
      </w:pPr>
      <w:r>
        <w:rPr>
          <w:rFonts w:ascii="Arial" w:cs="Arial" w:eastAsia="Arial" w:hAnsi="Arial"/>
        </w:rPr>
        <w:t xml:space="preserve">Data Freshness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record tracks when it was last scraped. The frontend shows data freshness per funder (e.g. "Arts Council data updated 2 days ago"). Stale data (&gt;30 days for weekly sources) triggers an alert.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Entity Matching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hardest problem and the one Benefacts spent the most human effort on. The same organisation appears under different names across different government databases. Our matching system uses a cascade of methods with confidence scoring.</w:t>
      </w:r>
    </w:p>
    <w:p>
      <w:pPr>
        <w:pStyle w:val="Heading2"/>
      </w:pPr>
      <w:r>
        <w:rPr>
          <w:rFonts w:ascii="Arial" w:cs="Arial" w:eastAsia="Arial" w:hAnsi="Arial"/>
        </w:rPr>
        <w:t xml:space="preserve">Matching Cascade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 1 — Exact ID match (confidence: 1.0): Match on charity_number (RCN), CRO number, or Revenue CHY number. These are unique identifiers. If two records share an RCN, they are definitively the same org.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 2 — Exact name match (confidence: 0.95): After normalisation (lowercase, strip CLG/Ltd/Limited, collapse whitespace). Fast and reliable for well-formatted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 3 — Fuzzy name match (confidence: 0.7–0.9): Using trigram similarity (pg_trgm extension in PostgreSQL). Threshold of 0.8 similarity. Catches "St Vincent de Paul" vs "Society of St. Vincent De Paul".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 4 — AI-assisted match (confidence: 0.5–0.8): For ambiguous cases, a Claude agent examines the org name, sector, county, and available context to suggest a match. These go into the review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 5 — Manual review: Unmatched records and low-confidence matches appear in an admin dashboard. A human confirms or rejects the proposed match.</w:t>
      </w:r>
    </w:p>
    <w:p>
      <w:pPr>
        <w:pStyle w:val="Heading2"/>
      </w:pPr>
      <w:r>
        <w:rPr>
          <w:rFonts w:ascii="Arial" w:cs="Arial" w:eastAsia="Arial" w:hAnsi="Arial"/>
        </w:rPr>
        <w:t xml:space="preserve">Matching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Confidence &gt;= 0.9: Auto-accepted, marked as reviewed=false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Confidence 0.7–0.9: Auto-accepted but flagged for spot-check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Confidence 0.5–0.7: Enters review queue, not shown on frontend until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Confidence &lt; 0.5: Treated as new organisation, enters review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matches are logged in entity_matches table with full audit trail</w:t>
      </w:r>
    </w:p>
    <w:p>
      <w:pPr>
        <w:pStyle w:val="Heading2"/>
      </w:pPr>
      <w:r>
        <w:rPr>
          <w:rFonts w:ascii="Arial" w:cs="Arial" w:eastAsia="Arial" w:hAnsi="Arial"/>
        </w:rPr>
        <w:t xml:space="preserve">PostgreSQL 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matching system uses PostgreSQL’s pg_trgm extension for fuzzy text matching, which Supabase supports natively. This gives us trigram similarity scoring without any external dependencies.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indexes: GIN index on name_normalised using gin_trgm_ops, B-tree indexes on charity_number, cro_number, and revenue_chy. The matching function runs as a Supabase Edge Function triggered after each scraper run.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Data Validation 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automated validation agent runs after each scraper import. It catches the kind of errors that slipped through in v1 (like the €250B charity).</w:t>
      </w:r>
    </w:p>
    <w:p>
      <w:pPr>
        <w:pStyle w:val="Heading2"/>
      </w:pPr>
      <w:r>
        <w:rPr>
          <w:rFonts w:ascii="Arial" w:cs="Arial" w:eastAsia="Arial" w:hAnsi="Arial"/>
        </w:rPr>
        <w:t xml:space="preserve">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cap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€25B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Reject. No Irish nonprofit exceeds HSE (€20B).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Income/expenditure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for review. Income should roughly match expenditure.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Year-on-year 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Flag. A 10x income jump likely indicates bad data.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grants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org+funder+year+amount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Deduplicate. Keep most recent scrape.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amounts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Flag. Grants should be positive.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chars or numeric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Reject. Not a real org name.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 grants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org match after 7 days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admin for manual matching.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Anomaly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Beyond hard rules, the validation agent uses statistical methods to flag outliers: grants more than 3 standard deviations from the funder’s mean, organisations receiving grants from an unusual number of funders, and sudden changes in sector-level totals.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Frontend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existing React/Vite/Tailwind frontend is retained but migrated from inline data.js to Supabase API calls. This reduces the initial bundle from 9.8MB to ~200KB.</w:t>
      </w:r>
    </w:p>
    <w:p>
      <w:pPr>
        <w:pStyle w:val="Heading2"/>
      </w:pPr>
      <w:r>
        <w:rPr>
          <w:rFonts w:ascii="Arial" w:cs="Arial" w:eastAsia="Arial" w:hAnsi="Arial"/>
        </w:rPr>
        <w:t xml:space="preserve">Key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Replace inline DATA import with Supabase client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pagination (50 orgs per page instead of loading all 26,000)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server-side search using PostgreSQL full-text search (ts_vector)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Funder cards link to filtered grant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 profiles show funding history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freshness indicators on each funder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dashboard for reviewing entity matches (behind 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functionality: CSV download of search results</w:t>
      </w:r>
    </w:p>
    <w:p>
      <w:pPr>
        <w:pStyle w:val="Heading2"/>
      </w:pPr>
      <w:r>
        <w:rPr>
          <w:rFonts w:ascii="Arial" w:cs="Arial" w:eastAsia="Arial" w:hAnsi="Arial"/>
        </w:rPr>
        <w:t xml:space="preserve">Authentication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Search, browse, 50 org profiles/day, basic funder view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profiles, financial details, CSV export, API access (1000 req/day)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€29/month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database access, bulk export, custom reports, priority support, unlimited API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€199/month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Implementation Plan</w:t>
      </w:r>
    </w:p>
    <w:p>
      <w:pPr>
        <w:pStyle w:val="Heading2"/>
      </w:pPr>
      <w:r>
        <w:rPr>
          <w:rFonts w:ascii="Arial" w:cs="Arial" w:eastAsia="Arial" w:hAnsi="Arial"/>
        </w:rPr>
        <w:t xml:space="preserve">Phase 1: Foundation (Weeks 1–2)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Move from inline data to Supabase. Get the database running with existing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Supabase project with schema from Section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migration script: convert current data.js into SQL inserts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pg_trgm extension for fuzzy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frontend to query Supabase instead of inline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pagination and server-side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fix_data.js to clean corrupt values before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updated frontend to Vercel</w:t>
      </w:r>
    </w:p>
    <w:p>
      <w:pPr>
        <w:pStyle w:val="Heading2"/>
      </w:pPr>
      <w:r>
        <w:rPr>
          <w:rFonts w:ascii="Arial" w:cs="Arial" w:eastAsia="Arial" w:hAnsi="Arial"/>
        </w:rPr>
        <w:t xml:space="preserve">Phase 2: Automated Scrapers (Weeks 3–4)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Move scrapers from local execution to scheduled GitHub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Refactor existing 5 scrapers to write directly to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new scrapers: Charities Regulator (CSV bulk download), CRO (REST API), Revenue CHY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GitHub Actions workflows with cron schedules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scraper monitoring and email alerts on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entity matching cascade (Levels 1–3)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admin review dashboard for low-confidence matches</w:t>
      </w:r>
    </w:p>
    <w:p>
      <w:pPr>
        <w:pStyle w:val="Heading2"/>
      </w:pPr>
      <w:r>
        <w:rPr>
          <w:rFonts w:ascii="Arial" w:cs="Arial" w:eastAsia="Arial" w:hAnsi="Arial"/>
        </w:rPr>
        <w:t xml:space="preserve">Phase 3: Scale and Quality (Weeks 5–6)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remaining funders, improve matching, add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scrapers for Dept of Education, Housing, DEASP, Foreign Affairs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validation agent with rules from Section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AI-assisted matching (Level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data freshness indicators to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org profile funding timeline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CSV/JSON export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test and optimise database queries</w:t>
      </w:r>
    </w:p>
    <w:p>
      <w:pPr>
        <w:pStyle w:val="Heading2"/>
      </w:pPr>
      <w:r>
        <w:rPr>
          <w:rFonts w:ascii="Arial" w:cs="Arial" w:eastAsia="Arial" w:hAnsi="Arial"/>
        </w:rPr>
        <w:t xml:space="preserve">Phase 4: Productise (Weeks 7–8)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Turn it into a product with proper auth, pricing, and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Supabase Auth with Stripe integration for paid tiers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REST API with rate limiting per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Row Level Security policies (free tier sees summary, paid sees detail)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custom domain (openbenefacts.ie)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API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Soft launch to journalists, researchers, nonprofits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 breakage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runs, alert on failure, test against cached responses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data upload via admin dashboard while scraper is 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matching 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scoring, review queue, audit trail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match confidence to users. Flag uncertain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 disappears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all source data. Track last-seen dates.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stale data with warning badge rather than removing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publish data already in public registers. No private data.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right-to-erasure endpoint. Legal review before launch.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free tier limits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500MB DB, 1GB storage, 2GB bandwidth. Monitor usage.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to Pro (€25/month) when needed. Costs are minimal.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Corrupt source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agent catches outliers before they reach production.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Quarantine bad data in staging table. Never auto-publish.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rFonts w:ascii="Arial" w:cs="Arial" w:eastAsia="Arial" w:hAnsi="Arial"/>
        </w:rPr>
        <w:t xml:space="preserve">10. Running Costs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entire platform can run on free tiers initially, scaling to approximately €50–75/month at production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(€/month)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500MB DB, 1GB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€25 (Pro)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100GB bandwidth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€0–20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min/month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€12/year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(validation)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€5–10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€0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€50–75/month</w:t>
            </w:r>
          </w:p>
        </w:tc>
      </w:tr>
    </w:tbl>
    <w:p>
      <w:pPr>
        <w:spacing w:after="40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For context: Benefacts cost €8.9M over 7 years (€1.27M/year) to operate with a full team. OpenBenefacts achieves comparable data coverage for under €1,000/year in infrastructure costs, with automation replacing most of the manual 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OpenBenefacts System Architecture</w:t>
    </w:r>
    <w:r>
      <w:rPr>
        <w:rFonts w:ascii="Arial" w:cs="Arial" w:eastAsia="Arial" w:hAnsi="Arial"/>
        <w:color w:val="999999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2026-03-21T19:18:11.755Z</dcterms:created>
  <dcterms:modified xsi:type="dcterms:W3CDTF">2026-03-21T19:18:11.755Z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