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80" w:before="120"/>
      </w:pPr>
    </w:p>
    <w:p>
      <w:pPr>
        <w:spacing w:after="360"/>
        <w:jc w:val="center"/>
      </w:pPr>
      <w:r>
        <w:rPr>
          <w:i/>
          <w:color w:val="C8C8C8"/>
          <w:sz w:val="16"/>
        </w:rPr>
        <w:t>[Company Logo]                                                  [TalentCraft Logo]</w:t>
      </w:r>
    </w:p>
    <w:p>
      <w:pPr>
        <w:pStyle w:val="CustomBody"/>
        <w:spacing w:after="240"/>
        <w:jc w:val="right"/>
      </w:pPr>
      <w:r>
        <w:rPr>
          <w:i/>
          <w:color w:val="808080"/>
          <w:sz w:val="18"/>
        </w:rPr>
        <w:t>TalentCraft Partnership Proposal</w:t>
      </w:r>
    </w:p>
    <w:p>
      <w:pPr>
        <w:pStyle w:val="CustomTitle"/>
        <w:spacing w:after="80"/>
      </w:pPr>
      <w:r>
        <w:t>Top 5 Reasons Hydra Host Should Partner with TalentCraft</w:t>
      </w:r>
    </w:p>
    <w:p>
      <w:pPr>
        <w:pStyle w:val="CustomSubtitle"/>
      </w:pPr>
      <w:r>
        <w:t>Flexible Tech + Leadership Talent for Data center techs</w:t>
      </w:r>
    </w:p>
    <w:p>
      <w:pPr>
        <w:pStyle w:val="CustomDivider"/>
      </w:pPr>
      <w:r>
        <w:rPr>
          <w:color w:val="808080"/>
          <w:sz w:val="16"/>
        </w:rPr>
        <w:t>________________________________________________________________________________</w:t>
      </w:r>
    </w:p>
    <w:p>
      <w:pPr>
        <w:pStyle w:val="CustomIntro"/>
      </w:pPr>
      <w:r>
        <w:t>TalentCraft is uniquely positioned to address Hydra Host's critical need for specialized data center technicians, given the rising demand for bare metal GPU solutions in the AI and HPC sectors. We deliver premier talent solutions that empower innovative companies like yours to scale efficiently.</w:t>
      </w:r>
    </w:p>
    <w:p>
      <w:pPr>
        <w:pStyle w:val="CustomReason"/>
      </w:pPr>
      <w:r>
        <w:t>1. Specialized Technical Talent Access: Hydra Host...</w:t>
      </w:r>
    </w:p>
    <w:p>
      <w:pPr>
        <w:pStyle w:val="CustomReasonBody"/>
      </w:pPr>
      <w:r>
        <w:t>Hydra Host requires data center technicians with expertise in GPU infrastructure, a niche skill set increasingly vital for AI, HPC, and big data applications; TalentCraft's established network and targeted recruiting strategies provide access to pre-vetted candidates with the exact experience needed. Securing specialized technicians ensures optimal performance and uptime of your bare metal GPU solutions, minimizing downtime and maximizing client satisfaction.</w:t>
      </w:r>
    </w:p>
    <w:p>
      <w:pPr>
        <w:spacing w:before="60" w:after="60"/>
      </w:pPr>
    </w:p>
    <w:p>
      <w:pPr>
        <w:pStyle w:val="CustomReason"/>
      </w:pPr>
      <w:r>
        <w:t>2. Accelerated Time-to-Hire: The demand for skilled...</w:t>
      </w:r>
    </w:p>
    <w:p>
      <w:pPr>
        <w:pStyle w:val="CustomReasonBody"/>
      </w:pPr>
      <w:r>
        <w:t>The demand for skilled data center technicians is fierce, making rapid hiring essential for maintaining a competitive edge in the bare metal GPU market; TalentCraft streamlines the recruitment process, delivering qualified candidates within accelerated timeframes. Reducing time-to-hire translates to quicker deployment of your services, enabling Hydra Host to capitalize on market opportunities and meet growing customer demands promptly.</w:t>
      </w:r>
    </w:p>
    <w:p>
      <w:pPr>
        <w:spacing w:before="60" w:after="60"/>
      </w:pPr>
    </w:p>
    <w:p>
      <w:pPr>
        <w:pStyle w:val="CustomReason"/>
      </w:pPr>
      <w:r>
        <w:t>3. Enhanced Operational Efficiency: Recruiting and onboarding...</w:t>
      </w:r>
    </w:p>
    <w:p>
      <w:pPr>
        <w:pStyle w:val="CustomReasonBody"/>
      </w:pPr>
      <w:r>
        <w:t>Recruiting and onboarding technical staff can divert valuable resources from Hydra Host's core business of providing GPU solutions; TalentCraft handles the entire talent acquisition lifecycle, freeing your team to focus on innovation and service delivery. Optimizing operational efficiency allows Hydra Host to dedicate more resources to product development and customer service, driving growth and strengthening your market position.</w:t>
      </w:r>
    </w:p>
    <w:p>
      <w:pPr>
        <w:spacing w:before="60" w:after="60"/>
      </w:pPr>
    </w:p>
    <w:p>
      <w:pPr>
        <w:pStyle w:val="CustomReason"/>
      </w:pPr>
      <w:r>
        <w:t>4. Reduced Recruitment Costs: Direct hiring efforts...</w:t>
      </w:r>
    </w:p>
    <w:p>
      <w:pPr>
        <w:pStyle w:val="CustomReasonBody"/>
      </w:pPr>
      <w:r>
        <w:t>Direct hiring efforts often incur significant costs related to advertising, screening, and interviewing; TalentCraft's expertise minimizes these expenses through efficient and targeted recruitment strategies. Lowering recruitment costs enables Hydra Host to allocate resources more effectively, boosting profitability and supporting strategic investments in technology and infrastructure.</w:t>
      </w:r>
    </w:p>
    <w:p>
      <w:pPr>
        <w:spacing w:before="60" w:after="60"/>
      </w:pPr>
    </w:p>
    <w:p>
      <w:pPr>
        <w:pStyle w:val="CustomReason"/>
      </w:pPr>
      <w:r>
        <w:t>5. Mitigation of Talent Acquisition Risks: Hiring...</w:t>
      </w:r>
    </w:p>
    <w:p>
      <w:pPr>
        <w:pStyle w:val="CustomReasonBody"/>
      </w:pPr>
      <w:r>
        <w:t>Hiring unqualified or unsuitable candidates can lead to performance issues, project delays, and increased turnover; TalentCraft’s rigorous screening process and industry-specific knowledge ensures the placement of highly qualified and reliable data center technicians. Minimizing talent acquisition risks protects Hydra Host's reputation, ensures consistent service quality, and fosters long-term stability in your technical workforce. Partner with TalentCraft to secure the specialized data center talent Hydra Host requires to drive innovation and maintain its competitive edge in the rapidly evolving GPU solutions market.</w:t>
      </w:r>
    </w:p>
    <w:p>
      <w:pPr>
        <w:spacing w:after="320"/>
      </w:pPr>
    </w:p>
    <w:p>
      <w:pPr>
        <w:pStyle w:val="CustomIntro"/>
        <w:spacing w:before="320" w:after="240"/>
      </w:pPr>
      <w:r>
        <w:t>TalentCraft delivers exceptional Data center techs talent through our proven recruitment methodology and extensive industry network, positioning Hydra Host for sustained competitive advantage.</w:t>
      </w:r>
    </w:p>
    <w:p>
      <w:pPr>
        <w:pStyle w:val="CustomBody"/>
        <w:spacing w:before="160" w:after="160"/>
        <w:ind w:left="216" w:right="216"/>
        <w:jc w:val="both"/>
      </w:pPr>
      <w:r>
        <w:rPr>
          <w:i/>
          <w:color w:val="595959"/>
          <w:sz w:val="20"/>
        </w:rPr>
        <w:t>Partnership Excellence: Our track record of success in placing top-tier talent makes TalentCraft the strategic partner Hydra Host needs to achieve its talent acquisition objectives efficiently and effectively.</w:t>
      </w:r>
    </w:p>
    <w:sectPr w:rsidR="00FC693F" w:rsidRPr="0006063C" w:rsidSect="00034616">
      <w:pgSz w:w="12240" w:h="15840"/>
      <w:pgMar w:top="1728"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
    <w:name w:val="Custom Header"/>
    <w:pPr>
      <w:spacing w:after="360" w:before="120"/>
      <w:jc w:val="center"/>
    </w:pPr>
  </w:style>
  <w:style w:type="paragraph" w:customStyle="1" w:styleId="CustomTitle">
    <w:name w:val="Custom Title"/>
    <w:pPr>
      <w:keepNext/>
      <w:spacing w:after="160" w:before="240" w:line="264" w:lineRule="auto"/>
      <w:jc w:val="center"/>
    </w:pPr>
    <w:rPr>
      <w:rFonts w:ascii="Aptos" w:hAnsi="Aptos"/>
      <w:b/>
      <w:color w:val="000000"/>
      <w:sz w:val="44"/>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240" w:after="80" w:line="264" w:lineRule="auto"/>
      <w:ind w:left="144"/>
    </w:pPr>
    <w:rPr>
      <w:rFonts w:ascii="Aptos" w:hAnsi="Aptos"/>
      <w:b/>
      <w:color w:val="000000"/>
      <w:sz w:val="24"/>
    </w:rPr>
  </w:style>
  <w:style w:type="paragraph" w:customStyle="1" w:styleId="CustomReasonBody">
    <w:name w:val="Custom Reason Body"/>
    <w:pPr>
      <w:spacing w:after="200" w:line="276" w:lineRule="auto"/>
      <w:ind w:left="216" w:right="144"/>
      <w:jc w:val="both"/>
    </w:pPr>
    <w:rPr>
      <w:rFonts w:ascii="Aptos" w:hAnsi="Aptos"/>
      <w:color w:val="000000"/>
      <w:sz w:val="22"/>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