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before="40"/>
        <w:jc w:val="center"/>
      </w:pPr>
      <w:r>
        <w:rPr>
          <w:i/>
          <w:color w:val="C8C8C8"/>
          <w:sz w:val="14"/>
        </w:rPr>
        <w:t>[Company Logo]                         [TalentCraft Logo]</w:t>
      </w:r>
    </w:p>
    <w:p>
      <w:pPr>
        <w:pStyle w:val="CustomBody"/>
        <w:spacing w:after="120"/>
        <w:jc w:val="right"/>
      </w:pPr>
      <w:r>
        <w:rPr>
          <w:i/>
          <w:color w:val="808080"/>
          <w:sz w:val="16"/>
        </w:rPr>
        <w:t>TalentCraft Partnership Proposal</w:t>
      </w:r>
    </w:p>
    <w:p>
      <w:pPr>
        <w:pStyle w:val="CustomTitle"/>
        <w:spacing w:after="40"/>
      </w:pPr>
      <w:r>
        <w:t>Top 5 Reasons Hydra host Should Partner with TalentCraft</w:t>
      </w:r>
    </w:p>
    <w:p>
      <w:pPr>
        <w:pStyle w:val="CustomSubtitle"/>
      </w:pPr>
      <w:r>
        <w:t>Flexible Tech + Leadership Talent for Data center techs</w:t>
      </w:r>
    </w:p>
    <w:p>
      <w:pPr>
        <w:pStyle w:val="CustomDivider"/>
      </w:pPr>
      <w:r>
        <w:rPr>
          <w:color w:val="808080"/>
          <w:sz w:val="16"/>
        </w:rPr>
        <w:t>________________________________________________________________________________</w:t>
      </w:r>
    </w:p>
    <w:p>
      <w:pPr>
        <w:pStyle w:val="CustomIntro"/>
      </w:pPr>
      <w:r>
        <w:t>TalentCraft understands that Hydra Host’s commitment to providing top-tier GPU solutions for AI, HPC, and big data requires specialized talent equipped to navigate the demanding landscape of bare metal infrastructure. The need for reliable data center technicians is paramount to maintaining the high standards your clients expect.</w:t>
      </w:r>
    </w:p>
    <w:p>
      <w:pPr>
        <w:pStyle w:val="CustomReason"/>
      </w:pPr>
      <w:r>
        <w:t>1. Ensuring Uptime and Reliability Demands Specialized Data Center Expertise: Hydra Host’s reputation depends on the</w:t>
      </w:r>
    </w:p>
    <w:p>
      <w:pPr>
        <w:pStyle w:val="CustomReasonBody"/>
      </w:pPr>
      <w:r>
        <w:t>Hydra Host’s reputation depends on the continuous operation of its bare metal GPU solutions; TalentCraft provides access to data center technicians with expertise in maintaining these complex systems, minimizing downtime and ensuring consistent performance. Our candidates possess deep knowledge of server hardware, cooling systems, and network infrastructure, critical for supporting your high-performance computing environment.</w:t>
      </w:r>
    </w:p>
    <w:p>
      <w:pPr>
        <w:spacing w:before="20" w:after="20"/>
      </w:pPr>
    </w:p>
    <w:p>
      <w:pPr>
        <w:pStyle w:val="CustomReason"/>
      </w:pPr>
      <w:r>
        <w:t>2. Scalability Requires Proactive Infrastructure Management: As Hydra Host expands its</w:t>
      </w:r>
    </w:p>
    <w:p>
      <w:pPr>
        <w:pStyle w:val="CustomReasonBody"/>
      </w:pPr>
      <w:r>
        <w:t>As Hydra Host expands its scalable solutions, proactive data center management becomes crucial; TalentCraft identifies technicians skilled in capacity planning, performance optimization, and infrastructure upgrades. These experts can anticipate future needs, ensuring seamless scalability and preventing bottlenecks that could impact your clients’ AI and HPC workloads.</w:t>
      </w:r>
    </w:p>
    <w:p>
      <w:pPr>
        <w:spacing w:before="20" w:after="20"/>
      </w:pPr>
    </w:p>
    <w:p>
      <w:pPr>
        <w:pStyle w:val="CustomReason"/>
      </w:pPr>
      <w:r>
        <w:t>3. Attracting Top-Tier Talent Provides a Competitive Advantage: In the competitive market for data center professionals,</w:t>
      </w:r>
    </w:p>
    <w:p>
      <w:pPr>
        <w:pStyle w:val="CustomReasonBody"/>
      </w:pPr>
      <w:r>
        <w:t>In the competitive market for data center professionals, TalentCraft leverages its established network and industry expertise to attract the best candidates; we understand the specific skill sets needed to support bare metal GPU environments, ensuring that Hydra Host secures talent that can immediately contribute to your success. This gives you a distinct advantage over competitors relying on less specialized recruitment methods.</w:t>
      </w:r>
    </w:p>
    <w:p>
      <w:pPr>
        <w:spacing w:before="20" w:after="20"/>
      </w:pPr>
    </w:p>
    <w:p>
      <w:pPr>
        <w:pStyle w:val="CustomReason"/>
      </w:pPr>
      <w:r>
        <w:t>4. Maintaining Security and Compliance in a High-Performance Environment is Critical:</w:t>
      </w:r>
    </w:p>
    <w:p>
      <w:pPr>
        <w:pStyle w:val="CustomReasonBody"/>
      </w:pPr>
      <w:r>
        <w:t>Data security and regulatory compliance are paramount in today’s digital landscape; TalentCraft sources data center technicians with a strong understanding of security protocols, compliance frameworks, and best practices for protecting sensitive data within a high-performance computing environment. This ensures that Hydra Host maintains the highest standards of data protection and avoids costly compliance violations.</w:t>
      </w:r>
    </w:p>
    <w:p>
      <w:pPr>
        <w:spacing w:before="20" w:after="20"/>
      </w:pPr>
    </w:p>
    <w:p>
      <w:pPr>
        <w:pStyle w:val="CustomReason"/>
      </w:pPr>
      <w:r>
        <w:t>5. Minimizing Operational Costs Through Efficient Data Center Management: TalentCraft delivers</w:t>
      </w:r>
    </w:p>
    <w:p>
      <w:pPr>
        <w:pStyle w:val="CustomReasonBody"/>
      </w:pPr>
      <w:r>
        <w:t>TalentCraft delivers data center technicians proficient in optimizing power consumption, streamlining maintenance procedures, and implementing cost-effective solutions. By partnering with us, Hydra Host can improve operational efficiency, reduce costs, and maximize the return on investment in its data center infrastructure, directly impacting your bottom line.</w:t>
      </w:r>
    </w:p>
    <w:p>
      <w:pPr>
        <w:spacing w:after="160"/>
      </w:pPr>
    </w:p>
    <w:p>
      <w:pPr>
        <w:pStyle w:val="CustomBody"/>
        <w:spacing w:before="160" w:after="120"/>
        <w:ind w:left="144" w:right="144"/>
        <w:jc w:val="both"/>
      </w:pPr>
      <w:r>
        <w:rPr>
          <w:i/>
          <w:color w:val="595959"/>
          <w:sz w:val="18"/>
        </w:rPr>
        <w:t>TalentCraft's proven expertise in Data center techs recruitment positions Hydra host for immediate competitive advantage through strategic talent acquisition.</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80" w:before="120" w:line="264" w:lineRule="auto"/>
      <w:jc w:val="center"/>
    </w:pPr>
    <w:rPr>
      <w:rFonts w:ascii="Aptos" w:hAnsi="Aptos"/>
      <w:b/>
      <w:color w:val="000000"/>
      <w:sz w:val="36"/>
    </w:rPr>
  </w:style>
  <w:style w:type="paragraph" w:customStyle="1" w:styleId="CustomSubtitle">
    <w:name w:val="Custom Subtitle"/>
    <w:pPr>
      <w:spacing w:after="120" w:before="40" w:line="264" w:lineRule="auto"/>
      <w:jc w:val="center"/>
    </w:pPr>
    <w:rPr>
      <w:rFonts w:ascii="Calibri" w:hAnsi="Calibri"/>
      <w:b w:val="0"/>
      <w:color w:val="595959"/>
      <w:sz w:val="24"/>
    </w:rPr>
  </w:style>
  <w:style w:type="paragraph" w:customStyle="1" w:styleId="CustomDivider">
    <w:name w:val="Custom Divider"/>
    <w:pPr>
      <w:spacing w:before="60" w:after="120"/>
      <w:jc w:val="center"/>
    </w:pPr>
  </w:style>
  <w:style w:type="paragraph" w:customStyle="1" w:styleId="CustomIntro">
    <w:name w:val="Custom Intro"/>
    <w:pPr>
      <w:spacing w:after="160" w:before="0" w:line="264" w:lineRule="auto"/>
      <w:ind w:left="288" w:right="288"/>
      <w:jc w:val="both"/>
    </w:pPr>
    <w:rPr>
      <w:rFonts w:ascii="Calibri" w:hAnsi="Calibri"/>
      <w:color w:val="000000"/>
      <w:sz w:val="20"/>
    </w:rPr>
  </w:style>
  <w:style w:type="paragraph" w:customStyle="1" w:styleId="CustomBody">
    <w:name w:val="Custom Body"/>
    <w:pPr>
      <w:spacing w:after="80" w:line="276" w:lineRule="auto"/>
      <w:ind w:firstLine="0"/>
      <w:jc w:val="both"/>
    </w:pPr>
    <w:rPr>
      <w:rFonts w:ascii="Calibri" w:hAnsi="Calibri"/>
      <w:color w:val="000000"/>
      <w:sz w:val="18"/>
    </w:rPr>
  </w:style>
  <w:style w:type="paragraph" w:customStyle="1" w:styleId="CustomReason">
    <w:name w:val="Custom Reason"/>
    <w:pPr>
      <w:keepNext/>
      <w:spacing w:before="120" w:after="40" w:line="264" w:lineRule="auto"/>
      <w:ind w:left="144"/>
    </w:pPr>
    <w:rPr>
      <w:rFonts w:ascii="Aptos" w:hAnsi="Aptos"/>
      <w:b/>
      <w:color w:val="000000"/>
      <w:sz w:val="22"/>
    </w:rPr>
  </w:style>
  <w:style w:type="paragraph" w:customStyle="1" w:styleId="CustomReasonBody">
    <w:name w:val="Custom Reason Body"/>
    <w:pPr>
      <w:spacing w:after="120" w:line="276" w:lineRule="auto"/>
      <w:ind w:left="216" w:right="144"/>
      <w:jc w:val="both"/>
    </w:pPr>
    <w:rPr>
      <w:rFonts w:ascii="Aptos" w:hAnsi="Aptos"/>
      <w:color w:val="000000"/>
      <w:sz w:val="20"/>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