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Top 5 Reasons TestCorp Should Partner with TalentCraft</w:t>
      </w:r>
    </w:p>
    <w:p>
      <w:pPr>
        <w:pStyle w:val="CustomSubtitle"/>
      </w:pPr>
      <w:r>
        <w:t>Flexible Tech + Leadership Talent for Software Engineers</w:t>
      </w:r>
    </w:p>
    <w:p>
      <w:pPr>
        <w:pStyle w:val="CustomBody"/>
      </w:pPr>
      <w:r>
        <w:t>TestCorp faces significant challenges in securing top-tier talent.</w:t>
      </w:r>
    </w:p>
    <w:p/>
    <w:p>
      <w:pPr>
        <w:pStyle w:val="CustomReason"/>
      </w:pPr>
      <w:r>
        <w:t>1. SPECIALIZED EXPERTISE</w:t>
      </w:r>
    </w:p>
    <w:p>
      <w:pPr>
        <w:pStyle w:val="CustomReasonBody"/>
      </w:pPr>
      <w:r>
        <w:t>We understand the unique requirements for Software Engineering roles.</w:t>
      </w:r>
    </w:p>
    <w:p>
      <w:pPr>
        <w:pStyle w:val="CustomReason"/>
      </w:pPr>
      <w:r>
        <w:t>2. EXTENSIVE NETWORK</w:t>
      </w:r>
    </w:p>
    <w:p>
      <w:pPr>
        <w:pStyle w:val="CustomReasonBody"/>
      </w:pPr>
      <w:r>
        <w:t>Our talent network includes top-tier professionals.</w:t>
      </w:r>
    </w:p>
    <w:p>
      <w:pPr>
        <w:pStyle w:val="CustomReason"/>
      </w:pPr>
      <w:r>
        <w:t>3. STREAMLINED PROCESS</w:t>
      </w:r>
    </w:p>
    <w:p>
      <w:pPr>
        <w:pStyle w:val="CustomReasonBody"/>
      </w:pPr>
      <w:r>
        <w:t>We handle the entire recruitment process.</w:t>
      </w:r>
    </w:p>
    <w:p>
      <w:pPr>
        <w:pStyle w:val="CustomReason"/>
      </w:pPr>
      <w:r>
        <w:t>4. QUALITY GUARANTEE</w:t>
      </w:r>
    </w:p>
    <w:p>
      <w:pPr>
        <w:pStyle w:val="CustomReasonBody"/>
      </w:pPr>
      <w:r>
        <w:t>We ensure each candidate meets your specifications.</w:t>
      </w:r>
    </w:p>
    <w:p>
      <w:pPr>
        <w:pStyle w:val="CustomReason"/>
      </w:pPr>
      <w:r>
        <w:t>5. ONGOING SUPPORT</w:t>
      </w:r>
    </w:p>
    <w:p>
      <w:pPr>
        <w:pStyle w:val="CustomReasonBody"/>
      </w:pPr>
      <w:r>
        <w:t>Our partnership doesn't end with placement.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120"/>
      <w:jc w:val="center"/>
    </w:pPr>
    <w:rPr>
      <w:rFonts w:ascii="Calibri" w:hAnsi="Calibri"/>
      <w:b/>
      <w:color w:val="000000"/>
      <w:sz w:val="40"/>
    </w:rPr>
  </w:style>
  <w:style w:type="paragraph" w:customStyle="1" w:styleId="CustomSubtitle">
    <w:name w:val="Custom Subtitle"/>
    <w:pPr>
      <w:spacing w:after="360"/>
      <w:jc w:val="center"/>
    </w:pPr>
    <w:rPr>
      <w:rFonts w:ascii="Calibri" w:hAnsi="Calibri"/>
      <w:b w:val="0"/>
      <w:color w:val="404040"/>
      <w:sz w:val="28"/>
    </w:rPr>
  </w:style>
  <w:style w:type="paragraph" w:customStyle="1" w:styleId="CustomBody">
    <w:name w:val="Custom Body"/>
    <w:pPr>
      <w:spacing w:after="240" w:line="276" w:lineRule="auto"/>
      <w:jc w:val="both"/>
    </w:pPr>
    <w:rPr>
      <w:rFonts w:ascii="Calibri" w:hAnsi="Calibri"/>
      <w:color w:val="000000"/>
      <w:sz w:val="22"/>
    </w:rPr>
  </w:style>
  <w:style w:type="paragraph" w:customStyle="1" w:styleId="CustomReason">
    <w:name w:val="Custom Reason"/>
    <w:pPr>
      <w:spacing w:before="240" w:after="120"/>
    </w:pPr>
    <w:rPr>
      <w:rFonts w:ascii="Calibri" w:hAnsi="Calibri"/>
      <w:b/>
      <w:color w:val="000000"/>
      <w:sz w:val="24"/>
    </w:rPr>
  </w:style>
  <w:style w:type="paragraph" w:customStyle="1" w:styleId="CustomReasonBody">
    <w:name w:val="Custom Reason Body"/>
    <w:pPr>
      <w:spacing w:after="240" w:line="276" w:lineRule="auto"/>
      <w:jc w:val="both"/>
    </w:pPr>
    <w:rPr>
      <w:rFonts w:ascii="Calibri" w:hAnsi="Calibri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