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035216F5" w:rsidR="00A910C9" w:rsidRDefault="001555F7" w:rsidP="00204AD9">
      <w:pPr>
        <w:jc w:val="center"/>
        <w:rPr>
          <w:rFonts w:ascii="Arial" w:hAnsi="Arial" w:cs="Arial"/>
        </w:rPr>
      </w:pPr>
      <w:r>
        <w:rPr>
          <w:rFonts w:ascii="Arial" w:hAnsi="Arial"/>
          <w:b/>
          <w:kern w:val="28"/>
          <w:sz w:val="40"/>
        </w:rPr>
        <w:t>BI Reporting Changes 01</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857CE8">
        <w:tc>
          <w:tcPr>
            <w:tcW w:w="1278" w:type="dxa"/>
          </w:tcPr>
          <w:p w14:paraId="3CA0071F" w14:textId="335B0751" w:rsidR="00A910C9" w:rsidRDefault="001555F7" w:rsidP="001555F7">
            <w:pPr>
              <w:pStyle w:val="TableText"/>
              <w:widowControl/>
              <w:jc w:val="both"/>
            </w:pPr>
            <w:r>
              <w:t>2</w:t>
            </w:r>
            <w:r w:rsidR="00285085">
              <w:t>/</w:t>
            </w:r>
            <w:r w:rsidR="00E50C89">
              <w:t>1</w:t>
            </w:r>
            <w:r>
              <w:t>8</w:t>
            </w:r>
            <w:r w:rsidR="00285085">
              <w:t>/201</w:t>
            </w:r>
            <w:r>
              <w:t>5</w:t>
            </w:r>
          </w:p>
        </w:tc>
        <w:tc>
          <w:tcPr>
            <w:tcW w:w="1080" w:type="dxa"/>
          </w:tcPr>
          <w:p w14:paraId="3CA00720" w14:textId="77777777" w:rsidR="00A910C9" w:rsidRDefault="00A910C9" w:rsidP="00857CE8">
            <w:pPr>
              <w:pStyle w:val="TableText"/>
              <w:widowControl/>
              <w:jc w:val="both"/>
            </w:pPr>
            <w:r>
              <w:t>1.0</w:t>
            </w:r>
          </w:p>
        </w:tc>
        <w:tc>
          <w:tcPr>
            <w:tcW w:w="3814"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2576" w:type="dxa"/>
          </w:tcPr>
          <w:p w14:paraId="3CA00722" w14:textId="0363286B" w:rsidR="00A910C9" w:rsidRDefault="00D209C5" w:rsidP="00857CE8">
            <w:pPr>
              <w:pStyle w:val="TableText"/>
              <w:widowControl/>
              <w:jc w:val="both"/>
            </w:pPr>
            <w:r>
              <w:t>Roger Behm</w:t>
            </w:r>
          </w:p>
        </w:tc>
      </w:tr>
      <w:tr w:rsidR="009801F1" w14:paraId="3CA00728" w14:textId="77777777" w:rsidTr="00857CE8">
        <w:tc>
          <w:tcPr>
            <w:tcW w:w="1278" w:type="dxa"/>
          </w:tcPr>
          <w:p w14:paraId="3CA00724" w14:textId="5FB9DA9B" w:rsidR="00256FB6" w:rsidRDefault="00256FB6" w:rsidP="009801F1">
            <w:pPr>
              <w:pStyle w:val="TableText"/>
              <w:widowControl/>
              <w:jc w:val="both"/>
            </w:pPr>
          </w:p>
        </w:tc>
        <w:tc>
          <w:tcPr>
            <w:tcW w:w="1080" w:type="dxa"/>
          </w:tcPr>
          <w:p w14:paraId="3CA00725" w14:textId="6FA673EA" w:rsidR="009801F1" w:rsidRDefault="009801F1" w:rsidP="009801F1">
            <w:pPr>
              <w:pStyle w:val="TableText"/>
              <w:widowControl/>
              <w:jc w:val="both"/>
            </w:pPr>
          </w:p>
        </w:tc>
        <w:tc>
          <w:tcPr>
            <w:tcW w:w="3814" w:type="dxa"/>
          </w:tcPr>
          <w:p w14:paraId="3CA00726" w14:textId="56B16CC4" w:rsidR="009801F1" w:rsidRDefault="009801F1" w:rsidP="009801F1">
            <w:pPr>
              <w:pStyle w:val="TableText"/>
              <w:widowControl/>
            </w:pPr>
          </w:p>
        </w:tc>
        <w:tc>
          <w:tcPr>
            <w:tcW w:w="2576" w:type="dxa"/>
          </w:tcPr>
          <w:p w14:paraId="3CA00727" w14:textId="0A0AAD92" w:rsidR="009801F1" w:rsidRDefault="009801F1" w:rsidP="009801F1">
            <w:pPr>
              <w:pStyle w:val="TableText"/>
              <w:widowControl/>
              <w:jc w:val="both"/>
            </w:pPr>
          </w:p>
        </w:tc>
      </w:tr>
      <w:tr w:rsidR="009801F1" w14:paraId="3CA00741" w14:textId="77777777" w:rsidTr="00857CE8">
        <w:tc>
          <w:tcPr>
            <w:tcW w:w="1278" w:type="dxa"/>
          </w:tcPr>
          <w:p w14:paraId="3CA0073D" w14:textId="1638888A" w:rsidR="009801F1" w:rsidRDefault="009801F1" w:rsidP="009801F1">
            <w:pPr>
              <w:pStyle w:val="TableText"/>
              <w:jc w:val="both"/>
            </w:pPr>
          </w:p>
        </w:tc>
        <w:tc>
          <w:tcPr>
            <w:tcW w:w="1080" w:type="dxa"/>
          </w:tcPr>
          <w:p w14:paraId="3CA0073E" w14:textId="7A0B152E" w:rsidR="009801F1" w:rsidRDefault="009801F1" w:rsidP="009801F1">
            <w:pPr>
              <w:pStyle w:val="TableText"/>
              <w:jc w:val="both"/>
            </w:pPr>
          </w:p>
        </w:tc>
        <w:tc>
          <w:tcPr>
            <w:tcW w:w="3814" w:type="dxa"/>
          </w:tcPr>
          <w:p w14:paraId="3CA0073F" w14:textId="5A7949A5" w:rsidR="009801F1" w:rsidRDefault="009801F1" w:rsidP="009801F1">
            <w:pPr>
              <w:pStyle w:val="TableText"/>
            </w:pPr>
          </w:p>
        </w:tc>
        <w:tc>
          <w:tcPr>
            <w:tcW w:w="2576" w:type="dxa"/>
          </w:tcPr>
          <w:p w14:paraId="3CA00740" w14:textId="78045D39" w:rsidR="009801F1" w:rsidRDefault="009801F1" w:rsidP="009801F1">
            <w:pPr>
              <w:pStyle w:val="TableText"/>
              <w:jc w:val="both"/>
            </w:pPr>
          </w:p>
        </w:tc>
      </w:tr>
      <w:tr w:rsidR="009801F1" w14:paraId="3CA00746" w14:textId="77777777" w:rsidTr="00857CE8">
        <w:tc>
          <w:tcPr>
            <w:tcW w:w="1278" w:type="dxa"/>
          </w:tcPr>
          <w:p w14:paraId="3CA00742" w14:textId="4EF09F03" w:rsidR="009801F1" w:rsidRDefault="009801F1" w:rsidP="009801F1">
            <w:pPr>
              <w:pStyle w:val="TableText"/>
              <w:jc w:val="both"/>
            </w:pPr>
          </w:p>
        </w:tc>
        <w:tc>
          <w:tcPr>
            <w:tcW w:w="1080" w:type="dxa"/>
          </w:tcPr>
          <w:p w14:paraId="3CA00743" w14:textId="6A516084" w:rsidR="009801F1" w:rsidRDefault="009801F1" w:rsidP="009801F1">
            <w:pPr>
              <w:pStyle w:val="TableText"/>
              <w:jc w:val="both"/>
            </w:pPr>
          </w:p>
        </w:tc>
        <w:tc>
          <w:tcPr>
            <w:tcW w:w="3814" w:type="dxa"/>
          </w:tcPr>
          <w:p w14:paraId="3CA00744" w14:textId="7C83E0BB" w:rsidR="009801F1" w:rsidRDefault="009801F1" w:rsidP="009801F1">
            <w:pPr>
              <w:pStyle w:val="TableText"/>
            </w:pPr>
          </w:p>
        </w:tc>
        <w:tc>
          <w:tcPr>
            <w:tcW w:w="2576" w:type="dxa"/>
          </w:tcPr>
          <w:p w14:paraId="3CA00745" w14:textId="01B449E7" w:rsidR="009801F1" w:rsidRDefault="009801F1" w:rsidP="009801F1">
            <w:pPr>
              <w:pStyle w:val="TableText"/>
              <w:jc w:val="both"/>
            </w:pPr>
          </w:p>
        </w:tc>
      </w:tr>
      <w:tr w:rsidR="009801F1" w14:paraId="3CA0074B" w14:textId="77777777" w:rsidTr="00857CE8">
        <w:tc>
          <w:tcPr>
            <w:tcW w:w="1278" w:type="dxa"/>
          </w:tcPr>
          <w:p w14:paraId="3CA00747" w14:textId="77777777" w:rsidR="009801F1" w:rsidRDefault="009801F1" w:rsidP="009801F1">
            <w:pPr>
              <w:pStyle w:val="TableText"/>
              <w:jc w:val="both"/>
            </w:pPr>
          </w:p>
        </w:tc>
        <w:tc>
          <w:tcPr>
            <w:tcW w:w="1080" w:type="dxa"/>
          </w:tcPr>
          <w:p w14:paraId="3CA00748" w14:textId="77777777" w:rsidR="009801F1" w:rsidRDefault="009801F1" w:rsidP="009801F1">
            <w:pPr>
              <w:pStyle w:val="TableText"/>
              <w:jc w:val="both"/>
            </w:pPr>
          </w:p>
        </w:tc>
        <w:tc>
          <w:tcPr>
            <w:tcW w:w="3814" w:type="dxa"/>
          </w:tcPr>
          <w:p w14:paraId="3CA00749" w14:textId="77777777" w:rsidR="009801F1" w:rsidRDefault="009801F1" w:rsidP="009801F1">
            <w:pPr>
              <w:pStyle w:val="TableText"/>
            </w:pPr>
          </w:p>
        </w:tc>
        <w:tc>
          <w:tcPr>
            <w:tcW w:w="257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4" w14:textId="77777777" w:rsidR="00A910C9" w:rsidRDefault="00A910C9" w:rsidP="00A910C9">
      <w:pPr>
        <w:jc w:val="both"/>
        <w:rPr>
          <w:rFonts w:ascii="Arial" w:hAnsi="Arial" w:cs="Arial"/>
        </w:rPr>
      </w:pPr>
    </w:p>
    <w:p w14:paraId="3CA00765" w14:textId="77777777" w:rsidR="00A910C9" w:rsidRDefault="00A910C9" w:rsidP="00A910C9">
      <w:pPr>
        <w:jc w:val="both"/>
        <w:rPr>
          <w:rFonts w:ascii="Arial" w:hAnsi="Arial" w:cs="Arial"/>
        </w:rPr>
      </w:pPr>
    </w:p>
    <w:p w14:paraId="25EAFEEC" w14:textId="77777777" w:rsidR="0078322C" w:rsidRDefault="0078322C" w:rsidP="00A910C9">
      <w:pPr>
        <w:jc w:val="both"/>
        <w:rPr>
          <w:rFonts w:ascii="Arial" w:hAnsi="Arial" w:cs="Arial"/>
        </w:rPr>
      </w:pPr>
    </w:p>
    <w:p w14:paraId="434269CB" w14:textId="77777777" w:rsidR="0078322C" w:rsidRDefault="0078322C" w:rsidP="00A910C9">
      <w:pPr>
        <w:jc w:val="both"/>
        <w:rPr>
          <w:rFonts w:ascii="Arial" w:hAnsi="Arial" w:cs="Arial"/>
        </w:rPr>
      </w:pPr>
    </w:p>
    <w:p w14:paraId="65E16437" w14:textId="77777777" w:rsidR="0078322C" w:rsidRDefault="0078322C" w:rsidP="00A910C9">
      <w:pPr>
        <w:jc w:val="both"/>
        <w:rPr>
          <w:rFonts w:ascii="Arial" w:hAnsi="Arial" w:cs="Arial"/>
        </w:rPr>
      </w:pPr>
    </w:p>
    <w:p w14:paraId="12CE7929" w14:textId="77777777" w:rsidR="0078322C" w:rsidRDefault="0078322C" w:rsidP="00A910C9">
      <w:pPr>
        <w:jc w:val="both"/>
        <w:rPr>
          <w:rFonts w:ascii="Arial" w:hAnsi="Arial" w:cs="Arial"/>
        </w:rPr>
      </w:pPr>
    </w:p>
    <w:p w14:paraId="160AD1F2" w14:textId="77777777" w:rsidR="0078322C" w:rsidRDefault="0078322C" w:rsidP="00A910C9">
      <w:pPr>
        <w:jc w:val="both"/>
        <w:rPr>
          <w:rFonts w:ascii="Arial" w:hAnsi="Arial" w:cs="Arial"/>
        </w:rPr>
      </w:pPr>
    </w:p>
    <w:p w14:paraId="3CA00766" w14:textId="77777777" w:rsidR="00A910C9" w:rsidRDefault="00A910C9" w:rsidP="00A910C9">
      <w:pPr>
        <w:jc w:val="both"/>
        <w:rPr>
          <w:rFonts w:ascii="Arial" w:hAnsi="Arial" w:cs="Arial"/>
        </w:rPr>
      </w:pPr>
    </w:p>
    <w:p w14:paraId="4C35281F" w14:textId="77777777" w:rsidR="00C45BA7" w:rsidRDefault="00C45BA7" w:rsidP="00A910C9">
      <w:pPr>
        <w:jc w:val="both"/>
        <w:rPr>
          <w:rFonts w:ascii="Arial" w:hAnsi="Arial" w:cs="Arial"/>
        </w:rPr>
      </w:pPr>
    </w:p>
    <w:p w14:paraId="2E5104DB" w14:textId="77777777" w:rsidR="00C45BA7" w:rsidRDefault="00C45BA7" w:rsidP="00A910C9">
      <w:pPr>
        <w:jc w:val="both"/>
        <w:rPr>
          <w:rFonts w:ascii="Arial" w:hAnsi="Arial" w:cs="Arial"/>
        </w:rPr>
      </w:pPr>
    </w:p>
    <w:p w14:paraId="753405FE" w14:textId="77777777" w:rsidR="00C45BA7" w:rsidRDefault="00C45BA7" w:rsidP="00A910C9">
      <w:pPr>
        <w:jc w:val="both"/>
        <w:rPr>
          <w:rFonts w:ascii="Arial" w:hAnsi="Arial" w:cs="Arial"/>
        </w:rPr>
      </w:pPr>
    </w:p>
    <w:p w14:paraId="67D6E991" w14:textId="77777777" w:rsidR="00C45BA7" w:rsidRDefault="00C45BA7" w:rsidP="00A910C9">
      <w:pPr>
        <w:jc w:val="both"/>
        <w:rPr>
          <w:rFonts w:ascii="Arial" w:hAnsi="Arial" w:cs="Arial"/>
        </w:rPr>
      </w:pPr>
    </w:p>
    <w:p w14:paraId="3CA0076A" w14:textId="77777777" w:rsidR="00A910C9" w:rsidRDefault="00A910C9" w:rsidP="00A910C9">
      <w:pPr>
        <w:pStyle w:val="TOC1"/>
        <w:jc w:val="both"/>
      </w:pPr>
      <w:r>
        <w:rPr>
          <w:sz w:val="28"/>
        </w:rPr>
        <w:lastRenderedPageBreak/>
        <w:t>Table of contents</w:t>
      </w:r>
    </w:p>
    <w:p w14:paraId="64521C83" w14:textId="77777777" w:rsidR="00210741"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10741">
        <w:rPr>
          <w:noProof/>
        </w:rPr>
        <w:t>1</w:t>
      </w:r>
      <w:r w:rsidR="00210741">
        <w:rPr>
          <w:rFonts w:asciiTheme="minorHAnsi" w:eastAsiaTheme="minorEastAsia" w:hAnsiTheme="minorHAnsi" w:cstheme="minorBidi"/>
          <w:b w:val="0"/>
          <w:caps w:val="0"/>
          <w:noProof/>
          <w:sz w:val="22"/>
          <w:szCs w:val="22"/>
        </w:rPr>
        <w:tab/>
      </w:r>
      <w:r w:rsidR="00210741">
        <w:rPr>
          <w:noProof/>
        </w:rPr>
        <w:t>Business Requirements</w:t>
      </w:r>
      <w:r w:rsidR="00210741">
        <w:rPr>
          <w:noProof/>
        </w:rPr>
        <w:tab/>
      </w:r>
      <w:r w:rsidR="00210741">
        <w:rPr>
          <w:noProof/>
        </w:rPr>
        <w:fldChar w:fldCharType="begin"/>
      </w:r>
      <w:r w:rsidR="00210741">
        <w:rPr>
          <w:noProof/>
        </w:rPr>
        <w:instrText xml:space="preserve"> PAGEREF _Toc390274887 \h </w:instrText>
      </w:r>
      <w:r w:rsidR="00210741">
        <w:rPr>
          <w:noProof/>
        </w:rPr>
      </w:r>
      <w:r w:rsidR="00210741">
        <w:rPr>
          <w:noProof/>
        </w:rPr>
        <w:fldChar w:fldCharType="separate"/>
      </w:r>
      <w:r w:rsidR="00210741">
        <w:rPr>
          <w:noProof/>
        </w:rPr>
        <w:t>6</w:t>
      </w:r>
      <w:r w:rsidR="00210741">
        <w:rPr>
          <w:noProof/>
        </w:rPr>
        <w:fldChar w:fldCharType="end"/>
      </w:r>
    </w:p>
    <w:p w14:paraId="3D1CC88C"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_Toc390274888 \h </w:instrText>
      </w:r>
      <w:r>
        <w:rPr>
          <w:noProof/>
        </w:rPr>
      </w:r>
      <w:r>
        <w:rPr>
          <w:noProof/>
        </w:rPr>
        <w:fldChar w:fldCharType="separate"/>
      </w:r>
      <w:r>
        <w:rPr>
          <w:noProof/>
        </w:rPr>
        <w:t>6</w:t>
      </w:r>
      <w:r>
        <w:rPr>
          <w:noProof/>
        </w:rPr>
        <w:fldChar w:fldCharType="end"/>
      </w:r>
    </w:p>
    <w:p w14:paraId="14467F7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w:t>
      </w:r>
      <w:r>
        <w:rPr>
          <w:noProof/>
        </w:rPr>
        <w:tab/>
      </w:r>
      <w:r>
        <w:rPr>
          <w:noProof/>
        </w:rPr>
        <w:fldChar w:fldCharType="begin"/>
      </w:r>
      <w:r>
        <w:rPr>
          <w:noProof/>
        </w:rPr>
        <w:instrText xml:space="preserve"> PAGEREF _Toc390274889 \h </w:instrText>
      </w:r>
      <w:r>
        <w:rPr>
          <w:noProof/>
        </w:rPr>
      </w:r>
      <w:r>
        <w:rPr>
          <w:noProof/>
        </w:rPr>
        <w:fldChar w:fldCharType="separate"/>
      </w:r>
      <w:r>
        <w:rPr>
          <w:noProof/>
        </w:rPr>
        <w:t>6</w:t>
      </w:r>
      <w:r>
        <w:rPr>
          <w:noProof/>
        </w:rPr>
        <w:fldChar w:fldCharType="end"/>
      </w:r>
    </w:p>
    <w:p w14:paraId="6F950BE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BFR Change Log</w:t>
      </w:r>
      <w:r>
        <w:rPr>
          <w:noProof/>
        </w:rPr>
        <w:tab/>
      </w:r>
      <w:r>
        <w:rPr>
          <w:noProof/>
        </w:rPr>
        <w:fldChar w:fldCharType="begin"/>
      </w:r>
      <w:r>
        <w:rPr>
          <w:noProof/>
        </w:rPr>
        <w:instrText xml:space="preserve"> PAGEREF _Toc390274890 \h </w:instrText>
      </w:r>
      <w:r>
        <w:rPr>
          <w:noProof/>
        </w:rPr>
      </w:r>
      <w:r>
        <w:rPr>
          <w:noProof/>
        </w:rPr>
        <w:fldChar w:fldCharType="separate"/>
      </w:r>
      <w:r>
        <w:rPr>
          <w:noProof/>
        </w:rPr>
        <w:t>6</w:t>
      </w:r>
      <w:r>
        <w:rPr>
          <w:noProof/>
        </w:rPr>
        <w:fldChar w:fldCharType="end"/>
      </w:r>
    </w:p>
    <w:p w14:paraId="43F6EA5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_Toc390274891 \h </w:instrText>
      </w:r>
      <w:r>
        <w:rPr>
          <w:noProof/>
        </w:rPr>
      </w:r>
      <w:r>
        <w:rPr>
          <w:noProof/>
        </w:rPr>
        <w:fldChar w:fldCharType="separate"/>
      </w:r>
      <w:r>
        <w:rPr>
          <w:noProof/>
        </w:rPr>
        <w:t>6</w:t>
      </w:r>
      <w:r>
        <w:rPr>
          <w:noProof/>
        </w:rPr>
        <w:fldChar w:fldCharType="end"/>
      </w:r>
    </w:p>
    <w:p w14:paraId="728A1A9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TDR Change Log</w:t>
      </w:r>
      <w:r>
        <w:rPr>
          <w:noProof/>
        </w:rPr>
        <w:tab/>
      </w:r>
      <w:r>
        <w:rPr>
          <w:noProof/>
        </w:rPr>
        <w:fldChar w:fldCharType="begin"/>
      </w:r>
      <w:r>
        <w:rPr>
          <w:noProof/>
        </w:rPr>
        <w:instrText xml:space="preserve"> PAGEREF _Toc390274892 \h </w:instrText>
      </w:r>
      <w:r>
        <w:rPr>
          <w:noProof/>
        </w:rPr>
      </w:r>
      <w:r>
        <w:rPr>
          <w:noProof/>
        </w:rPr>
        <w:fldChar w:fldCharType="separate"/>
      </w:r>
      <w:r>
        <w:rPr>
          <w:noProof/>
        </w:rPr>
        <w:t>6</w:t>
      </w:r>
      <w:r>
        <w:rPr>
          <w:noProof/>
        </w:rPr>
        <w:fldChar w:fldCharType="end"/>
      </w:r>
    </w:p>
    <w:p w14:paraId="372B427D"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_Toc390274893 \h </w:instrText>
      </w:r>
      <w:r>
        <w:rPr>
          <w:noProof/>
        </w:rPr>
      </w:r>
      <w:r>
        <w:rPr>
          <w:noProof/>
        </w:rPr>
        <w:fldChar w:fldCharType="separate"/>
      </w:r>
      <w:r>
        <w:rPr>
          <w:noProof/>
        </w:rPr>
        <w:t>7</w:t>
      </w:r>
      <w:r>
        <w:rPr>
          <w:noProof/>
        </w:rPr>
        <w:fldChar w:fldCharType="end"/>
      </w:r>
    </w:p>
    <w:p w14:paraId="11A28643"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_Toc390274894 \h </w:instrText>
      </w:r>
      <w:r>
        <w:rPr>
          <w:noProof/>
        </w:rPr>
      </w:r>
      <w:r>
        <w:rPr>
          <w:noProof/>
        </w:rPr>
        <w:fldChar w:fldCharType="separate"/>
      </w:r>
      <w:r>
        <w:rPr>
          <w:noProof/>
        </w:rPr>
        <w:t>7</w:t>
      </w:r>
      <w:r>
        <w:rPr>
          <w:noProof/>
        </w:rPr>
        <w:fldChar w:fldCharType="end"/>
      </w:r>
    </w:p>
    <w:p w14:paraId="23056B71"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_Toc390274895 \h </w:instrText>
      </w:r>
      <w:r>
        <w:rPr>
          <w:noProof/>
        </w:rPr>
      </w:r>
      <w:r>
        <w:rPr>
          <w:noProof/>
        </w:rPr>
        <w:fldChar w:fldCharType="separate"/>
      </w:r>
      <w:r>
        <w:rPr>
          <w:noProof/>
        </w:rPr>
        <w:t>7</w:t>
      </w:r>
      <w:r>
        <w:rPr>
          <w:noProof/>
        </w:rPr>
        <w:fldChar w:fldCharType="end"/>
      </w:r>
    </w:p>
    <w:p w14:paraId="21F7A33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Usability Standards</w:t>
      </w:r>
      <w:r>
        <w:rPr>
          <w:noProof/>
        </w:rPr>
        <w:tab/>
      </w:r>
      <w:r>
        <w:rPr>
          <w:noProof/>
        </w:rPr>
        <w:fldChar w:fldCharType="begin"/>
      </w:r>
      <w:r>
        <w:rPr>
          <w:noProof/>
        </w:rPr>
        <w:instrText xml:space="preserve"> PAGEREF _Toc390274896 \h </w:instrText>
      </w:r>
      <w:r>
        <w:rPr>
          <w:noProof/>
        </w:rPr>
      </w:r>
      <w:r>
        <w:rPr>
          <w:noProof/>
        </w:rPr>
        <w:fldChar w:fldCharType="separate"/>
      </w:r>
      <w:r>
        <w:rPr>
          <w:noProof/>
        </w:rPr>
        <w:t>7</w:t>
      </w:r>
      <w:r>
        <w:rPr>
          <w:noProof/>
        </w:rPr>
        <w:fldChar w:fldCharType="end"/>
      </w:r>
    </w:p>
    <w:p w14:paraId="343E6F85"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Design Standards</w:t>
      </w:r>
      <w:r>
        <w:rPr>
          <w:noProof/>
        </w:rPr>
        <w:tab/>
      </w:r>
      <w:r>
        <w:rPr>
          <w:noProof/>
        </w:rPr>
        <w:fldChar w:fldCharType="begin"/>
      </w:r>
      <w:r>
        <w:rPr>
          <w:noProof/>
        </w:rPr>
        <w:instrText xml:space="preserve"> PAGEREF _Toc390274897 \h </w:instrText>
      </w:r>
      <w:r>
        <w:rPr>
          <w:noProof/>
        </w:rPr>
      </w:r>
      <w:r>
        <w:rPr>
          <w:noProof/>
        </w:rPr>
        <w:fldChar w:fldCharType="separate"/>
      </w:r>
      <w:r>
        <w:rPr>
          <w:noProof/>
        </w:rPr>
        <w:t>7</w:t>
      </w:r>
      <w:r>
        <w:rPr>
          <w:noProof/>
        </w:rPr>
        <w:fldChar w:fldCharType="end"/>
      </w:r>
    </w:p>
    <w:p w14:paraId="5A490DA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Logical Model</w:t>
      </w:r>
      <w:r>
        <w:rPr>
          <w:noProof/>
        </w:rPr>
        <w:tab/>
      </w:r>
      <w:r>
        <w:rPr>
          <w:noProof/>
        </w:rPr>
        <w:fldChar w:fldCharType="begin"/>
      </w:r>
      <w:r>
        <w:rPr>
          <w:noProof/>
        </w:rPr>
        <w:instrText xml:space="preserve"> PAGEREF _Toc390274898 \h </w:instrText>
      </w:r>
      <w:r>
        <w:rPr>
          <w:noProof/>
        </w:rPr>
      </w:r>
      <w:r>
        <w:rPr>
          <w:noProof/>
        </w:rPr>
        <w:fldChar w:fldCharType="separate"/>
      </w:r>
      <w:r>
        <w:rPr>
          <w:noProof/>
        </w:rPr>
        <w:t>7</w:t>
      </w:r>
      <w:r>
        <w:rPr>
          <w:noProof/>
        </w:rPr>
        <w:fldChar w:fldCharType="end"/>
      </w:r>
    </w:p>
    <w:p w14:paraId="3F9E367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_Toc390274899 \h </w:instrText>
      </w:r>
      <w:r>
        <w:rPr>
          <w:noProof/>
        </w:rPr>
      </w:r>
      <w:r>
        <w:rPr>
          <w:noProof/>
        </w:rPr>
        <w:fldChar w:fldCharType="separate"/>
      </w:r>
      <w:r>
        <w:rPr>
          <w:noProof/>
        </w:rPr>
        <w:t>7</w:t>
      </w:r>
      <w:r>
        <w:rPr>
          <w:noProof/>
        </w:rPr>
        <w:fldChar w:fldCharType="end"/>
      </w:r>
    </w:p>
    <w:p w14:paraId="339CF2F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Record Counts</w:t>
      </w:r>
      <w:r>
        <w:rPr>
          <w:noProof/>
        </w:rPr>
        <w:tab/>
      </w:r>
      <w:r>
        <w:rPr>
          <w:noProof/>
        </w:rPr>
        <w:fldChar w:fldCharType="begin"/>
      </w:r>
      <w:r>
        <w:rPr>
          <w:noProof/>
        </w:rPr>
        <w:instrText xml:space="preserve"> PAGEREF _Toc390274900 \h </w:instrText>
      </w:r>
      <w:r>
        <w:rPr>
          <w:noProof/>
        </w:rPr>
      </w:r>
      <w:r>
        <w:rPr>
          <w:noProof/>
        </w:rPr>
        <w:fldChar w:fldCharType="separate"/>
      </w:r>
      <w:r>
        <w:rPr>
          <w:noProof/>
        </w:rPr>
        <w:t>11</w:t>
      </w:r>
      <w:r>
        <w:rPr>
          <w:noProof/>
        </w:rPr>
        <w:fldChar w:fldCharType="end"/>
      </w:r>
    </w:p>
    <w:p w14:paraId="27219EE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Index on the Tables</w:t>
      </w:r>
      <w:r>
        <w:rPr>
          <w:noProof/>
        </w:rPr>
        <w:tab/>
      </w:r>
      <w:r>
        <w:rPr>
          <w:noProof/>
        </w:rPr>
        <w:fldChar w:fldCharType="begin"/>
      </w:r>
      <w:r>
        <w:rPr>
          <w:noProof/>
        </w:rPr>
        <w:instrText xml:space="preserve"> PAGEREF _Toc390274901 \h </w:instrText>
      </w:r>
      <w:r>
        <w:rPr>
          <w:noProof/>
        </w:rPr>
      </w:r>
      <w:r>
        <w:rPr>
          <w:noProof/>
        </w:rPr>
        <w:fldChar w:fldCharType="separate"/>
      </w:r>
      <w:r>
        <w:rPr>
          <w:noProof/>
        </w:rPr>
        <w:t>11</w:t>
      </w:r>
      <w:r>
        <w:rPr>
          <w:noProof/>
        </w:rPr>
        <w:fldChar w:fldCharType="end"/>
      </w:r>
    </w:p>
    <w:p w14:paraId="4FD923EF"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Batch Job Schedule and Dependency</w:t>
      </w:r>
      <w:r>
        <w:rPr>
          <w:noProof/>
        </w:rPr>
        <w:tab/>
      </w:r>
      <w:r>
        <w:rPr>
          <w:noProof/>
        </w:rPr>
        <w:fldChar w:fldCharType="begin"/>
      </w:r>
      <w:r>
        <w:rPr>
          <w:noProof/>
        </w:rPr>
        <w:instrText xml:space="preserve"> PAGEREF _Toc390274902 \h </w:instrText>
      </w:r>
      <w:r>
        <w:rPr>
          <w:noProof/>
        </w:rPr>
      </w:r>
      <w:r>
        <w:rPr>
          <w:noProof/>
        </w:rPr>
        <w:fldChar w:fldCharType="separate"/>
      </w:r>
      <w:r>
        <w:rPr>
          <w:noProof/>
        </w:rPr>
        <w:t>11</w:t>
      </w:r>
      <w:r>
        <w:rPr>
          <w:noProof/>
        </w:rPr>
        <w:fldChar w:fldCharType="end"/>
      </w:r>
    </w:p>
    <w:p w14:paraId="58446DE0"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_Toc390274903 \h </w:instrText>
      </w:r>
      <w:r>
        <w:rPr>
          <w:noProof/>
        </w:rPr>
      </w:r>
      <w:r>
        <w:rPr>
          <w:noProof/>
        </w:rPr>
        <w:fldChar w:fldCharType="separate"/>
      </w:r>
      <w:r>
        <w:rPr>
          <w:noProof/>
        </w:rPr>
        <w:t>11</w:t>
      </w:r>
      <w:r>
        <w:rPr>
          <w:noProof/>
        </w:rPr>
        <w:fldChar w:fldCharType="end"/>
      </w:r>
    </w:p>
    <w:p w14:paraId="54381359"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Physical Data Model</w:t>
      </w:r>
      <w:r>
        <w:rPr>
          <w:noProof/>
        </w:rPr>
        <w:tab/>
      </w:r>
      <w:r>
        <w:rPr>
          <w:noProof/>
        </w:rPr>
        <w:fldChar w:fldCharType="begin"/>
      </w:r>
      <w:r>
        <w:rPr>
          <w:noProof/>
        </w:rPr>
        <w:instrText xml:space="preserve"> PAGEREF _Toc390274904 \h </w:instrText>
      </w:r>
      <w:r>
        <w:rPr>
          <w:noProof/>
        </w:rPr>
      </w:r>
      <w:r>
        <w:rPr>
          <w:noProof/>
        </w:rPr>
        <w:fldChar w:fldCharType="separate"/>
      </w:r>
      <w:r>
        <w:rPr>
          <w:noProof/>
        </w:rPr>
        <w:t>11</w:t>
      </w:r>
      <w:r>
        <w:rPr>
          <w:noProof/>
        </w:rPr>
        <w:fldChar w:fldCharType="end"/>
      </w:r>
    </w:p>
    <w:p w14:paraId="064B2988"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Framework Model</w:t>
      </w:r>
      <w:r>
        <w:rPr>
          <w:noProof/>
        </w:rPr>
        <w:tab/>
      </w:r>
      <w:r>
        <w:rPr>
          <w:noProof/>
        </w:rPr>
        <w:fldChar w:fldCharType="begin"/>
      </w:r>
      <w:r>
        <w:rPr>
          <w:noProof/>
        </w:rPr>
        <w:instrText xml:space="preserve"> PAGEREF _Toc390274905 \h </w:instrText>
      </w:r>
      <w:r>
        <w:rPr>
          <w:noProof/>
        </w:rPr>
      </w:r>
      <w:r>
        <w:rPr>
          <w:noProof/>
        </w:rPr>
        <w:fldChar w:fldCharType="separate"/>
      </w:r>
      <w:r>
        <w:rPr>
          <w:noProof/>
        </w:rPr>
        <w:t>11</w:t>
      </w:r>
      <w:r>
        <w:rPr>
          <w:noProof/>
        </w:rPr>
        <w:fldChar w:fldCharType="end"/>
      </w:r>
    </w:p>
    <w:p w14:paraId="0C8504F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3.10</w:t>
      </w:r>
      <w:r>
        <w:rPr>
          <w:rFonts w:asciiTheme="minorHAnsi" w:eastAsiaTheme="minorEastAsia" w:hAnsiTheme="minorHAnsi" w:cstheme="minorBidi"/>
          <w:smallCaps w:val="0"/>
          <w:noProof/>
          <w:sz w:val="22"/>
          <w:szCs w:val="22"/>
        </w:rPr>
        <w:tab/>
      </w:r>
      <w:r>
        <w:rPr>
          <w:noProof/>
        </w:rPr>
        <w:t>Validation/Error Handling</w:t>
      </w:r>
      <w:r>
        <w:rPr>
          <w:noProof/>
        </w:rPr>
        <w:tab/>
      </w:r>
      <w:r>
        <w:rPr>
          <w:noProof/>
        </w:rPr>
        <w:fldChar w:fldCharType="begin"/>
      </w:r>
      <w:r>
        <w:rPr>
          <w:noProof/>
        </w:rPr>
        <w:instrText xml:space="preserve"> PAGEREF _Toc390274906 \h </w:instrText>
      </w:r>
      <w:r>
        <w:rPr>
          <w:noProof/>
        </w:rPr>
      </w:r>
      <w:r>
        <w:rPr>
          <w:noProof/>
        </w:rPr>
        <w:fldChar w:fldCharType="separate"/>
      </w:r>
      <w:r>
        <w:rPr>
          <w:noProof/>
        </w:rPr>
        <w:t>11</w:t>
      </w:r>
      <w:r>
        <w:rPr>
          <w:noProof/>
        </w:rPr>
        <w:fldChar w:fldCharType="end"/>
      </w:r>
    </w:p>
    <w:p w14:paraId="661C91A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_Toc390274907 \h </w:instrText>
      </w:r>
      <w:r>
        <w:rPr>
          <w:noProof/>
        </w:rPr>
      </w:r>
      <w:r>
        <w:rPr>
          <w:noProof/>
        </w:rPr>
        <w:fldChar w:fldCharType="separate"/>
      </w:r>
      <w:r>
        <w:rPr>
          <w:noProof/>
        </w:rPr>
        <w:t>11</w:t>
      </w:r>
      <w:r>
        <w:rPr>
          <w:noProof/>
        </w:rPr>
        <w:fldChar w:fldCharType="end"/>
      </w:r>
    </w:p>
    <w:p w14:paraId="710BD122"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_Toc390274908 \h </w:instrText>
      </w:r>
      <w:r>
        <w:rPr>
          <w:noProof/>
        </w:rPr>
      </w:r>
      <w:r>
        <w:rPr>
          <w:noProof/>
        </w:rPr>
        <w:fldChar w:fldCharType="separate"/>
      </w:r>
      <w:r>
        <w:rPr>
          <w:noProof/>
        </w:rPr>
        <w:t>11</w:t>
      </w:r>
      <w:r>
        <w:rPr>
          <w:noProof/>
        </w:rPr>
        <w:fldChar w:fldCharType="end"/>
      </w:r>
    </w:p>
    <w:p w14:paraId="6D630B05"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_Toc390274909 \h </w:instrText>
      </w:r>
      <w:r>
        <w:rPr>
          <w:noProof/>
        </w:rPr>
      </w:r>
      <w:r>
        <w:rPr>
          <w:noProof/>
        </w:rPr>
        <w:fldChar w:fldCharType="separate"/>
      </w:r>
      <w:r>
        <w:rPr>
          <w:noProof/>
        </w:rPr>
        <w:t>11</w:t>
      </w:r>
      <w:r>
        <w:rPr>
          <w:noProof/>
        </w:rPr>
        <w:fldChar w:fldCharType="end"/>
      </w:r>
    </w:p>
    <w:p w14:paraId="0BAAC0D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_Toc390274910 \h </w:instrText>
      </w:r>
      <w:r>
        <w:rPr>
          <w:noProof/>
        </w:rPr>
      </w:r>
      <w:r>
        <w:rPr>
          <w:noProof/>
        </w:rPr>
        <w:fldChar w:fldCharType="separate"/>
      </w:r>
      <w:r>
        <w:rPr>
          <w:noProof/>
        </w:rPr>
        <w:t>11</w:t>
      </w:r>
      <w:r>
        <w:rPr>
          <w:noProof/>
        </w:rPr>
        <w:fldChar w:fldCharType="end"/>
      </w:r>
    </w:p>
    <w:p w14:paraId="30B3F17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_Toc390274911 \h </w:instrText>
      </w:r>
      <w:r>
        <w:rPr>
          <w:noProof/>
        </w:rPr>
      </w:r>
      <w:r>
        <w:rPr>
          <w:noProof/>
        </w:rPr>
        <w:fldChar w:fldCharType="separate"/>
      </w:r>
      <w:r>
        <w:rPr>
          <w:noProof/>
        </w:rPr>
        <w:t>12</w:t>
      </w:r>
      <w:r>
        <w:rPr>
          <w:noProof/>
        </w:rPr>
        <w:fldChar w:fldCharType="end"/>
      </w:r>
    </w:p>
    <w:p w14:paraId="0243060D"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_Toc390274912 \h </w:instrText>
      </w:r>
      <w:r>
        <w:rPr>
          <w:noProof/>
        </w:rPr>
      </w:r>
      <w:r>
        <w:rPr>
          <w:noProof/>
        </w:rPr>
        <w:fldChar w:fldCharType="separate"/>
      </w:r>
      <w:r>
        <w:rPr>
          <w:noProof/>
        </w:rPr>
        <w:t>12</w:t>
      </w:r>
      <w:r>
        <w:rPr>
          <w:noProof/>
        </w:rPr>
        <w:fldChar w:fldCharType="end"/>
      </w:r>
    </w:p>
    <w:p w14:paraId="604BCD74"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_Toc390274913 \h </w:instrText>
      </w:r>
      <w:r>
        <w:rPr>
          <w:noProof/>
        </w:rPr>
      </w:r>
      <w:r>
        <w:rPr>
          <w:noProof/>
        </w:rPr>
        <w:fldChar w:fldCharType="separate"/>
      </w:r>
      <w:r>
        <w:rPr>
          <w:noProof/>
        </w:rPr>
        <w:t>12</w:t>
      </w:r>
      <w:r>
        <w:rPr>
          <w:noProof/>
        </w:rPr>
        <w:fldChar w:fldCharType="end"/>
      </w:r>
    </w:p>
    <w:p w14:paraId="5715C5D7"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_Toc390274914 \h </w:instrText>
      </w:r>
      <w:r>
        <w:rPr>
          <w:noProof/>
        </w:rPr>
      </w:r>
      <w:r>
        <w:rPr>
          <w:noProof/>
        </w:rPr>
        <w:fldChar w:fldCharType="separate"/>
      </w:r>
      <w:r>
        <w:rPr>
          <w:noProof/>
        </w:rPr>
        <w:t>12</w:t>
      </w:r>
      <w:r>
        <w:rPr>
          <w:noProof/>
        </w:rPr>
        <w:fldChar w:fldCharType="end"/>
      </w:r>
    </w:p>
    <w:p w14:paraId="7953ACC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_Toc390274915 \h </w:instrText>
      </w:r>
      <w:r>
        <w:rPr>
          <w:noProof/>
        </w:rPr>
      </w:r>
      <w:r>
        <w:rPr>
          <w:noProof/>
        </w:rPr>
        <w:fldChar w:fldCharType="separate"/>
      </w:r>
      <w:r>
        <w:rPr>
          <w:noProof/>
        </w:rPr>
        <w:t>12</w:t>
      </w:r>
      <w:r>
        <w:rPr>
          <w:noProof/>
        </w:rPr>
        <w:fldChar w:fldCharType="end"/>
      </w:r>
    </w:p>
    <w:p w14:paraId="1A177EA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6.2</w:t>
      </w:r>
      <w:r>
        <w:rPr>
          <w:rFonts w:asciiTheme="minorHAnsi" w:eastAsiaTheme="minorEastAsia" w:hAnsiTheme="minorHAnsi" w:cstheme="minorBidi"/>
          <w:smallCaps w:val="0"/>
          <w:noProof/>
          <w:sz w:val="22"/>
          <w:szCs w:val="22"/>
        </w:rPr>
        <w:tab/>
      </w:r>
      <w:r w:rsidRPr="00E422BC">
        <w:rPr>
          <w:bCs/>
          <w:iCs/>
          <w:noProof/>
        </w:rPr>
        <w:t>Policies and Procedures</w:t>
      </w:r>
      <w:r>
        <w:rPr>
          <w:noProof/>
        </w:rPr>
        <w:tab/>
      </w:r>
      <w:r>
        <w:rPr>
          <w:noProof/>
        </w:rPr>
        <w:fldChar w:fldCharType="begin"/>
      </w:r>
      <w:r>
        <w:rPr>
          <w:noProof/>
        </w:rPr>
        <w:instrText xml:space="preserve"> PAGEREF _Toc390274916 \h </w:instrText>
      </w:r>
      <w:r>
        <w:rPr>
          <w:noProof/>
        </w:rPr>
      </w:r>
      <w:r>
        <w:rPr>
          <w:noProof/>
        </w:rPr>
        <w:fldChar w:fldCharType="separate"/>
      </w:r>
      <w:r>
        <w:rPr>
          <w:noProof/>
        </w:rPr>
        <w:t>12</w:t>
      </w:r>
      <w:r>
        <w:rPr>
          <w:noProof/>
        </w:rPr>
        <w:fldChar w:fldCharType="end"/>
      </w:r>
    </w:p>
    <w:p w14:paraId="126256A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6.3</w:t>
      </w:r>
      <w:r>
        <w:rPr>
          <w:rFonts w:asciiTheme="minorHAnsi" w:eastAsiaTheme="minorEastAsia" w:hAnsiTheme="minorHAnsi" w:cstheme="minorBidi"/>
          <w:smallCaps w:val="0"/>
          <w:noProof/>
          <w:sz w:val="22"/>
          <w:szCs w:val="22"/>
        </w:rPr>
        <w:tab/>
      </w:r>
      <w:r w:rsidRPr="00E422BC">
        <w:rPr>
          <w:bCs/>
          <w:iCs/>
          <w:noProof/>
        </w:rPr>
        <w:t>Security Design</w:t>
      </w:r>
      <w:r>
        <w:rPr>
          <w:noProof/>
        </w:rPr>
        <w:tab/>
      </w:r>
      <w:r>
        <w:rPr>
          <w:noProof/>
        </w:rPr>
        <w:fldChar w:fldCharType="begin"/>
      </w:r>
      <w:r>
        <w:rPr>
          <w:noProof/>
        </w:rPr>
        <w:instrText xml:space="preserve"> PAGEREF _Toc390274917 \h </w:instrText>
      </w:r>
      <w:r>
        <w:rPr>
          <w:noProof/>
        </w:rPr>
      </w:r>
      <w:r>
        <w:rPr>
          <w:noProof/>
        </w:rPr>
        <w:fldChar w:fldCharType="separate"/>
      </w:r>
      <w:r>
        <w:rPr>
          <w:noProof/>
        </w:rPr>
        <w:t>12</w:t>
      </w:r>
      <w:r>
        <w:rPr>
          <w:noProof/>
        </w:rPr>
        <w:fldChar w:fldCharType="end"/>
      </w:r>
    </w:p>
    <w:p w14:paraId="61A264C2"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_Toc390274918 \h </w:instrText>
      </w:r>
      <w:r>
        <w:rPr>
          <w:noProof/>
        </w:rPr>
      </w:r>
      <w:r>
        <w:rPr>
          <w:noProof/>
        </w:rPr>
        <w:fldChar w:fldCharType="separate"/>
      </w:r>
      <w:r>
        <w:rPr>
          <w:noProof/>
        </w:rPr>
        <w:t>12</w:t>
      </w:r>
      <w:r>
        <w:rPr>
          <w:noProof/>
        </w:rPr>
        <w:fldChar w:fldCharType="end"/>
      </w:r>
    </w:p>
    <w:p w14:paraId="2E005380"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_Toc390274919 \h </w:instrText>
      </w:r>
      <w:r>
        <w:rPr>
          <w:noProof/>
        </w:rPr>
      </w:r>
      <w:r>
        <w:rPr>
          <w:noProof/>
        </w:rPr>
        <w:fldChar w:fldCharType="separate"/>
      </w:r>
      <w:r>
        <w:rPr>
          <w:noProof/>
        </w:rPr>
        <w:t>12</w:t>
      </w:r>
      <w:r>
        <w:rPr>
          <w:noProof/>
        </w:rPr>
        <w:fldChar w:fldCharType="end"/>
      </w:r>
    </w:p>
    <w:p w14:paraId="5D9013FD"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_Toc390274920 \h </w:instrText>
      </w:r>
      <w:r>
        <w:rPr>
          <w:noProof/>
        </w:rPr>
      </w:r>
      <w:r>
        <w:rPr>
          <w:noProof/>
        </w:rPr>
        <w:fldChar w:fldCharType="separate"/>
      </w:r>
      <w:r>
        <w:rPr>
          <w:noProof/>
        </w:rPr>
        <w:t>12</w:t>
      </w:r>
      <w:r>
        <w:rPr>
          <w:noProof/>
        </w:rPr>
        <w:fldChar w:fldCharType="end"/>
      </w:r>
    </w:p>
    <w:p w14:paraId="7B5BBD7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_Toc390274921 \h </w:instrText>
      </w:r>
      <w:r>
        <w:rPr>
          <w:noProof/>
        </w:rPr>
      </w:r>
      <w:r>
        <w:rPr>
          <w:noProof/>
        </w:rPr>
        <w:fldChar w:fldCharType="separate"/>
      </w:r>
      <w:r>
        <w:rPr>
          <w:noProof/>
        </w:rPr>
        <w:t>12</w:t>
      </w:r>
      <w:r>
        <w:rPr>
          <w:noProof/>
        </w:rPr>
        <w:fldChar w:fldCharType="end"/>
      </w:r>
    </w:p>
    <w:p w14:paraId="0980F918"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_Toc390274922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390274887"/>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390274888"/>
      <w:r>
        <w:t xml:space="preserve">Purpose of the </w:t>
      </w:r>
      <w:bookmarkEnd w:id="7"/>
      <w:bookmarkEnd w:id="8"/>
      <w:bookmarkEnd w:id="9"/>
      <w:r>
        <w:t>Design Specification</w:t>
      </w:r>
      <w:bookmarkEnd w:id="10"/>
    </w:p>
    <w:p w14:paraId="0ECC9422" w14:textId="46B11B03" w:rsidR="00256FB6" w:rsidRDefault="00256FB6" w:rsidP="00256FB6">
      <w:pPr>
        <w:jc w:val="both"/>
      </w:pPr>
      <w:r>
        <w:t xml:space="preserve">The Requirements/design document will describe </w:t>
      </w:r>
      <w:r w:rsidR="00844462">
        <w:t xml:space="preserve">the </w:t>
      </w:r>
      <w:r w:rsidR="00E4000F">
        <w:t>support for commercial carts for new and existing customers within the Capture system</w:t>
      </w:r>
      <w:r w:rsidR="00844462">
        <w:t xml:space="preserve">.  </w:t>
      </w:r>
      <w:r w:rsidR="00E4000F">
        <w:t xml:space="preserve">This functionality will include Side Load as a route type option.  </w:t>
      </w:r>
      <w:r w:rsidR="00844462">
        <w:t xml:space="preserve">Currently </w:t>
      </w:r>
      <w:r w:rsidR="00E4000F">
        <w:t xml:space="preserve">Capture does not </w:t>
      </w:r>
      <w:proofErr w:type="gramStart"/>
      <w:r w:rsidR="00E4000F">
        <w:t xml:space="preserve">support </w:t>
      </w:r>
      <w:r w:rsidR="00844462">
        <w:t>.</w:t>
      </w:r>
      <w:proofErr w:type="gramEnd"/>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390274889"/>
      <w:bookmarkStart w:id="12" w:name="_Toc342757861"/>
      <w:bookmarkStart w:id="13" w:name="_Toc346297769"/>
      <w:bookmarkStart w:id="14" w:name="_Toc404134499"/>
      <w:r w:rsidRPr="00F93315">
        <w:t>Business Functional Requirements</w:t>
      </w:r>
      <w:bookmarkEnd w:id="11"/>
      <w:r w:rsidR="00F040D7">
        <w:t xml:space="preserve"> / Configuration</w:t>
      </w:r>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A16533"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6D3B97B5" w:rsidR="00C539DD" w:rsidRPr="008301E3" w:rsidRDefault="001555F7" w:rsidP="008F7601">
            <w:r>
              <w:t>Create point in time snapshots of a quote during specific quote actions.</w:t>
            </w:r>
          </w:p>
        </w:tc>
        <w:tc>
          <w:tcPr>
            <w:tcW w:w="4950" w:type="dxa"/>
            <w:tcBorders>
              <w:top w:val="single" w:sz="4" w:space="0" w:color="auto"/>
              <w:left w:val="single" w:sz="4" w:space="0" w:color="auto"/>
              <w:bottom w:val="single" w:sz="4" w:space="0" w:color="auto"/>
              <w:right w:val="single" w:sz="4" w:space="0" w:color="auto"/>
            </w:tcBorders>
          </w:tcPr>
          <w:p w14:paraId="47B61D37" w14:textId="308BB281" w:rsidR="001555F7" w:rsidRDefault="001555F7" w:rsidP="001555F7">
            <w:pPr>
              <w:textAlignment w:val="center"/>
              <w:rPr>
                <w:rFonts w:ascii="Calibri" w:hAnsi="Calibri"/>
                <w:color w:val="000000"/>
              </w:rPr>
            </w:pPr>
            <w:r>
              <w:rPr>
                <w:rFonts w:ascii="Calibri" w:hAnsi="Calibri"/>
                <w:color w:val="000000"/>
              </w:rPr>
              <w:t>The following actions will be recording during the lifespan of a quote</w:t>
            </w:r>
          </w:p>
          <w:p w14:paraId="1F24BE7C" w14:textId="77777777" w:rsidR="001555F7" w:rsidRPr="001555F7" w:rsidRDefault="001555F7" w:rsidP="001555F7">
            <w:pPr>
              <w:numPr>
                <w:ilvl w:val="0"/>
                <w:numId w:val="30"/>
              </w:numPr>
              <w:ind w:left="540"/>
              <w:textAlignment w:val="center"/>
              <w:rPr>
                <w:rFonts w:ascii="Calibri" w:hAnsi="Calibri"/>
                <w:color w:val="000000"/>
              </w:rPr>
            </w:pPr>
            <w:proofErr w:type="spellStart"/>
            <w:r w:rsidRPr="001555F7">
              <w:rPr>
                <w:rFonts w:ascii="Calibri" w:hAnsi="Calibri"/>
                <w:color w:val="000000"/>
              </w:rPr>
              <w:t>Create_quote</w:t>
            </w:r>
            <w:proofErr w:type="spellEnd"/>
            <w:r w:rsidRPr="001555F7">
              <w:rPr>
                <w:rFonts w:ascii="Calibri" w:hAnsi="Calibri"/>
                <w:color w:val="000000"/>
              </w:rPr>
              <w:t xml:space="preserve"> when entered a configurator</w:t>
            </w:r>
          </w:p>
          <w:p w14:paraId="5FAC5DBB" w14:textId="77777777" w:rsidR="001555F7" w:rsidRPr="001555F7" w:rsidRDefault="001555F7" w:rsidP="001555F7">
            <w:pPr>
              <w:numPr>
                <w:ilvl w:val="0"/>
                <w:numId w:val="30"/>
              </w:numPr>
              <w:ind w:left="540"/>
              <w:textAlignment w:val="center"/>
              <w:rPr>
                <w:rFonts w:ascii="Calibri" w:hAnsi="Calibri"/>
                <w:color w:val="000000"/>
              </w:rPr>
            </w:pPr>
            <w:proofErr w:type="spellStart"/>
            <w:r w:rsidRPr="001555F7">
              <w:rPr>
                <w:rFonts w:ascii="Calibri" w:hAnsi="Calibri"/>
                <w:color w:val="000000"/>
              </w:rPr>
              <w:t>Configured_quote</w:t>
            </w:r>
            <w:proofErr w:type="spellEnd"/>
            <w:r w:rsidRPr="001555F7">
              <w:rPr>
                <w:rFonts w:ascii="Calibri" w:hAnsi="Calibri"/>
                <w:color w:val="000000"/>
              </w:rPr>
              <w:t xml:space="preserve"> once it hit the pricing page</w:t>
            </w:r>
          </w:p>
          <w:p w14:paraId="7294C218"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Submitted for Approval</w:t>
            </w:r>
          </w:p>
          <w:p w14:paraId="4FE719E4"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Approved or Rejected -(how to determine action)</w:t>
            </w:r>
          </w:p>
          <w:p w14:paraId="6FD90D60"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Documents with Customer</w:t>
            </w:r>
          </w:p>
          <w:p w14:paraId="74E31C00"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Finalized</w:t>
            </w:r>
          </w:p>
          <w:p w14:paraId="2FA5A614" w14:textId="71637180" w:rsidR="008E0EF0" w:rsidRPr="008E0EF0" w:rsidRDefault="008E0EF0" w:rsidP="008E0EF0">
            <w:pPr>
              <w:spacing w:line="276" w:lineRule="auto"/>
              <w:ind w:left="229"/>
            </w:pPr>
          </w:p>
        </w:tc>
      </w:tr>
      <w:tr w:rsidR="001555F7" w:rsidRPr="004D04DC" w14:paraId="2602273B" w14:textId="77777777" w:rsidTr="001555F7">
        <w:trPr>
          <w:cantSplit/>
          <w:trHeight w:val="1250"/>
        </w:trPr>
        <w:tc>
          <w:tcPr>
            <w:tcW w:w="3960" w:type="dxa"/>
            <w:tcBorders>
              <w:top w:val="single" w:sz="4" w:space="0" w:color="auto"/>
              <w:left w:val="single" w:sz="4" w:space="0" w:color="auto"/>
              <w:bottom w:val="single" w:sz="4" w:space="0" w:color="auto"/>
              <w:right w:val="single" w:sz="4" w:space="0" w:color="auto"/>
            </w:tcBorders>
          </w:tcPr>
          <w:p w14:paraId="470FC543" w14:textId="77777777" w:rsidR="001555F7" w:rsidRDefault="001555F7" w:rsidP="000742A6">
            <w:pPr>
              <w:pStyle w:val="ListParagraph"/>
              <w:numPr>
                <w:ilvl w:val="0"/>
                <w:numId w:val="2"/>
              </w:numPr>
            </w:pPr>
          </w:p>
          <w:p w14:paraId="4DFB5FA1" w14:textId="1FB03C8E" w:rsidR="001555F7" w:rsidRPr="001555F7" w:rsidRDefault="001555F7" w:rsidP="001555F7">
            <w:r w:rsidRPr="001555F7">
              <w:t>A list of reportable fields will be used to build the BI Capture tables</w:t>
            </w:r>
          </w:p>
        </w:tc>
        <w:tc>
          <w:tcPr>
            <w:tcW w:w="4950" w:type="dxa"/>
            <w:tcBorders>
              <w:top w:val="single" w:sz="4" w:space="0" w:color="auto"/>
              <w:left w:val="single" w:sz="4" w:space="0" w:color="auto"/>
              <w:bottom w:val="single" w:sz="4" w:space="0" w:color="auto"/>
              <w:right w:val="single" w:sz="4" w:space="0" w:color="auto"/>
            </w:tcBorders>
          </w:tcPr>
          <w:p w14:paraId="3F908319" w14:textId="0F78751B" w:rsidR="001555F7" w:rsidRDefault="001555F7" w:rsidP="001555F7">
            <w:pPr>
              <w:textAlignment w:val="center"/>
              <w:rPr>
                <w:rFonts w:ascii="Calibri" w:hAnsi="Calibri"/>
                <w:color w:val="000000"/>
              </w:rPr>
            </w:pPr>
            <w:r w:rsidRPr="001555F7">
              <w:rPr>
                <w:rFonts w:ascii="Calibri" w:hAnsi="Calibri"/>
                <w:color w:val="000000"/>
                <w:highlight w:val="yellow"/>
              </w:rPr>
              <w:t>Please see attached mapping document</w:t>
            </w:r>
          </w:p>
        </w:tc>
      </w:tr>
      <w:tr w:rsidR="001555F7" w:rsidRPr="004D04DC" w14:paraId="58A55157" w14:textId="77777777" w:rsidTr="001555F7">
        <w:trPr>
          <w:cantSplit/>
          <w:trHeight w:val="1070"/>
        </w:trPr>
        <w:tc>
          <w:tcPr>
            <w:tcW w:w="3960" w:type="dxa"/>
            <w:tcBorders>
              <w:top w:val="single" w:sz="4" w:space="0" w:color="auto"/>
              <w:left w:val="single" w:sz="4" w:space="0" w:color="auto"/>
              <w:bottom w:val="single" w:sz="4" w:space="0" w:color="auto"/>
              <w:right w:val="single" w:sz="4" w:space="0" w:color="auto"/>
            </w:tcBorders>
          </w:tcPr>
          <w:p w14:paraId="5A9833B0" w14:textId="77777777" w:rsidR="001555F7" w:rsidRDefault="001555F7" w:rsidP="000742A6">
            <w:pPr>
              <w:pStyle w:val="ListParagraph"/>
              <w:numPr>
                <w:ilvl w:val="0"/>
                <w:numId w:val="2"/>
              </w:numPr>
            </w:pPr>
          </w:p>
        </w:tc>
        <w:tc>
          <w:tcPr>
            <w:tcW w:w="4950" w:type="dxa"/>
            <w:tcBorders>
              <w:top w:val="single" w:sz="4" w:space="0" w:color="auto"/>
              <w:left w:val="single" w:sz="4" w:space="0" w:color="auto"/>
              <w:bottom w:val="single" w:sz="4" w:space="0" w:color="auto"/>
              <w:right w:val="single" w:sz="4" w:space="0" w:color="auto"/>
            </w:tcBorders>
          </w:tcPr>
          <w:p w14:paraId="1C03CB92" w14:textId="77777777" w:rsidR="001555F7" w:rsidRDefault="001555F7" w:rsidP="001555F7">
            <w:pPr>
              <w:textAlignment w:val="center"/>
              <w:rPr>
                <w:rFonts w:ascii="Calibri" w:hAnsi="Calibri"/>
                <w:color w:val="000000"/>
              </w:rPr>
            </w:pPr>
          </w:p>
        </w:tc>
      </w:tr>
    </w:tbl>
    <w:p w14:paraId="34389F90" w14:textId="77777777" w:rsidR="00F040D7" w:rsidRDefault="00F040D7" w:rsidP="00F040D7">
      <w:pPr>
        <w:pStyle w:val="Heading3"/>
        <w:numPr>
          <w:ilvl w:val="0"/>
          <w:numId w:val="0"/>
        </w:numPr>
        <w:ind w:left="720" w:hanging="720"/>
      </w:pPr>
      <w:bookmarkStart w:id="15" w:name="_Toc390274891"/>
      <w:bookmarkStart w:id="16" w:name="_Toc342757862"/>
      <w:bookmarkStart w:id="17" w:name="_Toc346297770"/>
      <w:bookmarkStart w:id="18"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r>
        <w:t>Technical Design</w:t>
      </w:r>
      <w:r w:rsidRPr="00F93315">
        <w:t xml:space="preserve"> Requirements</w:t>
      </w:r>
      <w:bookmarkEnd w:id="15"/>
      <w:r w:rsidR="00851C53">
        <w:tab/>
      </w:r>
    </w:p>
    <w:p w14:paraId="0A4E4714" w14:textId="77777777" w:rsidR="00CA2B01" w:rsidRDefault="00CA2B01" w:rsidP="00CA2B01">
      <w:pPr>
        <w:jc w:val="both"/>
      </w:pPr>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05B52276" w:rsidR="00D43756" w:rsidRPr="00876EF0" w:rsidRDefault="001555F7" w:rsidP="001555F7">
            <w:r>
              <w:t xml:space="preserve">Within Capture create variable </w:t>
            </w:r>
            <w:proofErr w:type="spellStart"/>
            <w:r>
              <w:t>reportingStatus_quote</w:t>
            </w:r>
            <w:proofErr w:type="spellEnd"/>
            <w:r>
              <w:t>.</w:t>
            </w:r>
          </w:p>
        </w:tc>
        <w:tc>
          <w:tcPr>
            <w:tcW w:w="4950" w:type="dxa"/>
            <w:tcBorders>
              <w:top w:val="single" w:sz="4" w:space="0" w:color="auto"/>
              <w:left w:val="single" w:sz="4" w:space="0" w:color="auto"/>
              <w:bottom w:val="single" w:sz="4" w:space="0" w:color="auto"/>
              <w:right w:val="single" w:sz="4" w:space="0" w:color="auto"/>
            </w:tcBorders>
          </w:tcPr>
          <w:p w14:paraId="2D8C4951" w14:textId="5D54A279" w:rsidR="00876EF0" w:rsidRDefault="001555F7" w:rsidP="001555F7">
            <w:r>
              <w:t>This variable should be populated based on the following text during associated actions:</w:t>
            </w:r>
          </w:p>
          <w:p w14:paraId="00366D8C" w14:textId="49C3599B" w:rsidR="001555F7" w:rsidRPr="001555F7" w:rsidRDefault="001555F7" w:rsidP="001555F7">
            <w:pPr>
              <w:numPr>
                <w:ilvl w:val="0"/>
                <w:numId w:val="31"/>
              </w:numPr>
              <w:tabs>
                <w:tab w:val="clear" w:pos="720"/>
                <w:tab w:val="num" w:pos="522"/>
              </w:tabs>
              <w:ind w:left="342" w:hanging="270"/>
              <w:textAlignment w:val="center"/>
              <w:rPr>
                <w:rFonts w:ascii="Calibri" w:hAnsi="Calibri"/>
                <w:color w:val="000000"/>
              </w:rPr>
            </w:pPr>
            <w:proofErr w:type="spellStart"/>
            <w:r>
              <w:rPr>
                <w:rFonts w:ascii="Calibri" w:hAnsi="Calibri"/>
                <w:color w:val="000000"/>
              </w:rPr>
              <w:t>Create_Q</w:t>
            </w:r>
            <w:r w:rsidRPr="001555F7">
              <w:rPr>
                <w:rFonts w:ascii="Calibri" w:hAnsi="Calibri"/>
                <w:color w:val="000000"/>
              </w:rPr>
              <w:t>uote</w:t>
            </w:r>
            <w:proofErr w:type="spellEnd"/>
            <w:r>
              <w:rPr>
                <w:rFonts w:ascii="Calibri" w:hAnsi="Calibri"/>
                <w:color w:val="000000"/>
              </w:rPr>
              <w:t xml:space="preserve"> -</w:t>
            </w:r>
            <w:r w:rsidRPr="001555F7">
              <w:rPr>
                <w:rFonts w:ascii="Calibri" w:hAnsi="Calibri"/>
                <w:color w:val="000000"/>
              </w:rPr>
              <w:t xml:space="preserve"> when entered a configurator</w:t>
            </w:r>
            <w:r>
              <w:rPr>
                <w:rFonts w:ascii="Calibri" w:hAnsi="Calibri"/>
                <w:color w:val="000000"/>
              </w:rPr>
              <w:t xml:space="preserve"> (3</w:t>
            </w:r>
            <w:r w:rsidRPr="001555F7">
              <w:rPr>
                <w:rFonts w:ascii="Calibri" w:hAnsi="Calibri"/>
                <w:color w:val="000000"/>
                <w:vertAlign w:val="superscript"/>
              </w:rPr>
              <w:t>rd</w:t>
            </w:r>
            <w:r>
              <w:rPr>
                <w:rFonts w:ascii="Calibri" w:hAnsi="Calibri"/>
                <w:color w:val="000000"/>
              </w:rPr>
              <w:t xml:space="preserve"> page of a quote)</w:t>
            </w:r>
          </w:p>
          <w:p w14:paraId="43153128" w14:textId="0E98530E" w:rsidR="001555F7" w:rsidRPr="001555F7" w:rsidRDefault="001555F7" w:rsidP="001555F7">
            <w:pPr>
              <w:numPr>
                <w:ilvl w:val="0"/>
                <w:numId w:val="31"/>
              </w:numPr>
              <w:ind w:left="342" w:hanging="270"/>
              <w:textAlignment w:val="center"/>
              <w:rPr>
                <w:rFonts w:ascii="Calibri" w:hAnsi="Calibri"/>
                <w:color w:val="000000"/>
              </w:rPr>
            </w:pPr>
            <w:proofErr w:type="spellStart"/>
            <w:r w:rsidRPr="001555F7">
              <w:rPr>
                <w:rFonts w:ascii="Calibri" w:hAnsi="Calibri"/>
                <w:color w:val="000000"/>
              </w:rPr>
              <w:t>Configured_</w:t>
            </w:r>
            <w:r>
              <w:rPr>
                <w:rFonts w:ascii="Calibri" w:hAnsi="Calibri"/>
                <w:color w:val="000000"/>
              </w:rPr>
              <w:t>Q</w:t>
            </w:r>
            <w:r w:rsidRPr="001555F7">
              <w:rPr>
                <w:rFonts w:ascii="Calibri" w:hAnsi="Calibri"/>
                <w:color w:val="000000"/>
              </w:rPr>
              <w:t>uote</w:t>
            </w:r>
            <w:proofErr w:type="spellEnd"/>
            <w:r>
              <w:rPr>
                <w:rFonts w:ascii="Calibri" w:hAnsi="Calibri"/>
                <w:color w:val="000000"/>
              </w:rPr>
              <w:t xml:space="preserve"> </w:t>
            </w:r>
            <w:r w:rsidR="00ED23B3">
              <w:rPr>
                <w:rFonts w:ascii="Calibri" w:hAnsi="Calibri"/>
                <w:color w:val="000000"/>
              </w:rPr>
              <w:t>-</w:t>
            </w:r>
            <w:r>
              <w:rPr>
                <w:rFonts w:ascii="Calibri" w:hAnsi="Calibri"/>
                <w:color w:val="000000"/>
              </w:rPr>
              <w:t xml:space="preserve"> </w:t>
            </w:r>
            <w:r w:rsidR="00ED23B3">
              <w:rPr>
                <w:rFonts w:ascii="Calibri" w:hAnsi="Calibri"/>
                <w:color w:val="000000"/>
              </w:rPr>
              <w:t xml:space="preserve">when the user enters the pricing page from </w:t>
            </w:r>
            <w:proofErr w:type="spellStart"/>
            <w:r w:rsidR="00ED23B3">
              <w:rPr>
                <w:rFonts w:ascii="Calibri" w:hAnsi="Calibri"/>
                <w:color w:val="000000"/>
              </w:rPr>
              <w:t>config</w:t>
            </w:r>
            <w:proofErr w:type="spellEnd"/>
          </w:p>
          <w:p w14:paraId="1F0BA633" w14:textId="27F0D39D" w:rsidR="001555F7" w:rsidRPr="001555F7" w:rsidRDefault="00ED23B3" w:rsidP="001555F7">
            <w:pPr>
              <w:numPr>
                <w:ilvl w:val="0"/>
                <w:numId w:val="31"/>
              </w:numPr>
              <w:ind w:left="342" w:hanging="270"/>
              <w:textAlignment w:val="center"/>
              <w:rPr>
                <w:rFonts w:ascii="Calibri" w:hAnsi="Calibri"/>
                <w:color w:val="000000"/>
              </w:rPr>
            </w:pPr>
            <w:proofErr w:type="spellStart"/>
            <w:r>
              <w:rPr>
                <w:rFonts w:ascii="Calibri" w:hAnsi="Calibri"/>
                <w:color w:val="000000"/>
              </w:rPr>
              <w:t>Submitted_</w:t>
            </w:r>
            <w:r w:rsidR="001555F7" w:rsidRPr="001555F7">
              <w:rPr>
                <w:rFonts w:ascii="Calibri" w:hAnsi="Calibri"/>
                <w:color w:val="000000"/>
              </w:rPr>
              <w:t>for</w:t>
            </w:r>
            <w:r>
              <w:rPr>
                <w:rFonts w:ascii="Calibri" w:hAnsi="Calibri"/>
                <w:color w:val="000000"/>
              </w:rPr>
              <w:t>_</w:t>
            </w:r>
            <w:r w:rsidR="001555F7" w:rsidRPr="001555F7">
              <w:rPr>
                <w:rFonts w:ascii="Calibri" w:hAnsi="Calibri"/>
                <w:color w:val="000000"/>
              </w:rPr>
              <w:t>Approval</w:t>
            </w:r>
            <w:proofErr w:type="spellEnd"/>
            <w:r>
              <w:rPr>
                <w:rFonts w:ascii="Calibri" w:hAnsi="Calibri"/>
                <w:color w:val="000000"/>
              </w:rPr>
              <w:t xml:space="preserve"> – when the “Submitted for Approval” </w:t>
            </w:r>
            <w:proofErr w:type="spellStart"/>
            <w:r>
              <w:rPr>
                <w:rFonts w:ascii="Calibri" w:hAnsi="Calibri"/>
                <w:color w:val="000000"/>
              </w:rPr>
              <w:t>SalesEngine</w:t>
            </w:r>
            <w:proofErr w:type="spellEnd"/>
            <w:r>
              <w:rPr>
                <w:rFonts w:ascii="Calibri" w:hAnsi="Calibri"/>
                <w:color w:val="000000"/>
              </w:rPr>
              <w:t xml:space="preserve"> Commerce Process step is activated. This can be found Admin </w:t>
            </w:r>
            <w:r w:rsidRPr="00ED23B3">
              <w:rPr>
                <w:rFonts w:ascii="Calibri" w:hAnsi="Calibri"/>
                <w:color w:val="000000"/>
              </w:rPr>
              <w:sym w:font="Wingdings" w:char="F0E0"/>
            </w:r>
            <w:r>
              <w:rPr>
                <w:rFonts w:ascii="Calibri" w:hAnsi="Calibri"/>
                <w:color w:val="000000"/>
              </w:rPr>
              <w:t xml:space="preserve"> Commerce Process Definition </w:t>
            </w:r>
            <w:r w:rsidRPr="00ED23B3">
              <w:rPr>
                <w:rFonts w:ascii="Calibri" w:hAnsi="Calibri"/>
                <w:color w:val="000000"/>
              </w:rPr>
              <w:sym w:font="Wingdings" w:char="F0E0"/>
            </w:r>
            <w:r>
              <w:rPr>
                <w:rFonts w:ascii="Calibri" w:hAnsi="Calibri"/>
                <w:color w:val="000000"/>
              </w:rPr>
              <w:t xml:space="preserve"> </w:t>
            </w:r>
            <w:proofErr w:type="spellStart"/>
            <w:r>
              <w:rPr>
                <w:rFonts w:ascii="Calibri" w:hAnsi="Calibri"/>
                <w:color w:val="000000"/>
              </w:rPr>
              <w:t>SalesEngine</w:t>
            </w:r>
            <w:proofErr w:type="spellEnd"/>
            <w:r>
              <w:rPr>
                <w:rFonts w:ascii="Calibri" w:hAnsi="Calibri"/>
                <w:color w:val="000000"/>
              </w:rPr>
              <w:t xml:space="preserve"> Commerce Process (Steps) click List</w:t>
            </w:r>
          </w:p>
          <w:p w14:paraId="1CF3AC26" w14:textId="5595EDF0" w:rsidR="001555F7" w:rsidRPr="001555F7" w:rsidRDefault="001555F7" w:rsidP="001555F7">
            <w:pPr>
              <w:numPr>
                <w:ilvl w:val="0"/>
                <w:numId w:val="31"/>
              </w:numPr>
              <w:ind w:left="342" w:hanging="270"/>
              <w:textAlignment w:val="center"/>
              <w:rPr>
                <w:rFonts w:ascii="Calibri" w:hAnsi="Calibri"/>
                <w:color w:val="000000"/>
              </w:rPr>
            </w:pPr>
            <w:r w:rsidRPr="001555F7">
              <w:rPr>
                <w:rFonts w:ascii="Calibri" w:hAnsi="Calibri"/>
                <w:color w:val="000000"/>
              </w:rPr>
              <w:t>Approved or Rej</w:t>
            </w:r>
            <w:r w:rsidR="00ED23B3">
              <w:rPr>
                <w:rFonts w:ascii="Calibri" w:hAnsi="Calibri"/>
                <w:color w:val="000000"/>
              </w:rPr>
              <w:t xml:space="preserve">ected – based on approval decision in step 3.  Under </w:t>
            </w:r>
            <w:r w:rsidR="00ED23B3">
              <w:rPr>
                <w:rFonts w:ascii="Calibri" w:hAnsi="Calibri"/>
                <w:color w:val="000000"/>
              </w:rPr>
              <w:t>“Submitted for Approval”</w:t>
            </w:r>
            <w:r w:rsidR="00ED23B3">
              <w:rPr>
                <w:rFonts w:ascii="Calibri" w:hAnsi="Calibri"/>
                <w:color w:val="000000"/>
              </w:rPr>
              <w:t xml:space="preserve"> </w:t>
            </w:r>
            <w:r w:rsidR="00ED23B3" w:rsidRPr="00ED23B3">
              <w:rPr>
                <w:rFonts w:ascii="Calibri" w:hAnsi="Calibri"/>
                <w:color w:val="000000"/>
              </w:rPr>
              <w:sym w:font="Wingdings" w:char="F0E0"/>
            </w:r>
            <w:r w:rsidR="00ED23B3">
              <w:rPr>
                <w:rFonts w:ascii="Calibri" w:hAnsi="Calibri"/>
                <w:color w:val="000000"/>
              </w:rPr>
              <w:t xml:space="preserve"> Admin: Next will signify an “Approved” status, Reject will signify a “Rejected” status.</w:t>
            </w:r>
          </w:p>
          <w:p w14:paraId="4B1FFB6E" w14:textId="77777777" w:rsidR="001555F7" w:rsidRPr="001555F7" w:rsidRDefault="001555F7" w:rsidP="001555F7">
            <w:pPr>
              <w:numPr>
                <w:ilvl w:val="0"/>
                <w:numId w:val="31"/>
              </w:numPr>
              <w:ind w:left="342" w:hanging="270"/>
              <w:textAlignment w:val="center"/>
              <w:rPr>
                <w:rFonts w:ascii="Calibri" w:hAnsi="Calibri"/>
                <w:color w:val="000000"/>
                <w:highlight w:val="yellow"/>
              </w:rPr>
            </w:pPr>
            <w:bookmarkStart w:id="19" w:name="_GoBack"/>
            <w:bookmarkEnd w:id="19"/>
            <w:r w:rsidRPr="001555F7">
              <w:rPr>
                <w:rFonts w:ascii="Calibri" w:hAnsi="Calibri"/>
                <w:color w:val="000000"/>
                <w:highlight w:val="yellow"/>
              </w:rPr>
              <w:t>Documents with Customer</w:t>
            </w:r>
          </w:p>
          <w:p w14:paraId="24FD8BB2" w14:textId="77777777" w:rsidR="001555F7" w:rsidRPr="001555F7" w:rsidRDefault="001555F7" w:rsidP="001555F7">
            <w:pPr>
              <w:numPr>
                <w:ilvl w:val="0"/>
                <w:numId w:val="31"/>
              </w:numPr>
              <w:ind w:left="342" w:hanging="270"/>
              <w:textAlignment w:val="center"/>
              <w:rPr>
                <w:rFonts w:ascii="Calibri" w:hAnsi="Calibri"/>
                <w:color w:val="000000"/>
                <w:highlight w:val="yellow"/>
              </w:rPr>
            </w:pPr>
            <w:r w:rsidRPr="001555F7">
              <w:rPr>
                <w:rFonts w:ascii="Calibri" w:hAnsi="Calibri"/>
                <w:color w:val="000000"/>
                <w:highlight w:val="yellow"/>
              </w:rPr>
              <w:t>Finalized</w:t>
            </w:r>
          </w:p>
          <w:p w14:paraId="12E9EAB4" w14:textId="77777777" w:rsidR="001555F7" w:rsidRDefault="001555F7" w:rsidP="001555F7"/>
          <w:p w14:paraId="0FF91CE1" w14:textId="4A4226E7" w:rsidR="001555F7" w:rsidRPr="001555F7" w:rsidRDefault="001555F7" w:rsidP="001555F7"/>
        </w:tc>
      </w:tr>
      <w:tr w:rsidR="008D5E5F" w:rsidRPr="004D04DC"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E5A3991" w14:textId="32DDC0B3" w:rsidR="008D5E5F" w:rsidRDefault="008D5E5F" w:rsidP="00204AD9">
            <w:pPr>
              <w:pStyle w:val="ListParagraph"/>
              <w:numPr>
                <w:ilvl w:val="0"/>
                <w:numId w:val="5"/>
              </w:numPr>
            </w:pPr>
          </w:p>
        </w:tc>
        <w:tc>
          <w:tcPr>
            <w:tcW w:w="4950" w:type="dxa"/>
            <w:tcBorders>
              <w:top w:val="single" w:sz="4" w:space="0" w:color="auto"/>
              <w:left w:val="single" w:sz="4" w:space="0" w:color="auto"/>
              <w:bottom w:val="single" w:sz="4" w:space="0" w:color="auto"/>
              <w:right w:val="single" w:sz="4" w:space="0" w:color="auto"/>
            </w:tcBorders>
          </w:tcPr>
          <w:p w14:paraId="565F392E" w14:textId="47C63D12" w:rsidR="008D5E5F" w:rsidRPr="008D5E5F" w:rsidRDefault="008D5E5F" w:rsidP="008D5E5F">
            <w:pPr>
              <w:rPr>
                <w:color w:val="1F497D"/>
              </w:rPr>
            </w:pPr>
          </w:p>
        </w:tc>
      </w:tr>
      <w:tr w:rsidR="008D5E5F" w:rsidRPr="004D04DC"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CD323DD" w14:textId="6F9535E9" w:rsidR="008D5E5F" w:rsidRDefault="008D5E5F" w:rsidP="00204AD9">
            <w:pPr>
              <w:pStyle w:val="ListParagraph"/>
              <w:numPr>
                <w:ilvl w:val="0"/>
                <w:numId w:val="5"/>
              </w:numPr>
            </w:pPr>
          </w:p>
        </w:tc>
        <w:tc>
          <w:tcPr>
            <w:tcW w:w="4950" w:type="dxa"/>
            <w:tcBorders>
              <w:top w:val="single" w:sz="4" w:space="0" w:color="auto"/>
              <w:left w:val="single" w:sz="4" w:space="0" w:color="auto"/>
              <w:bottom w:val="single" w:sz="4" w:space="0" w:color="auto"/>
              <w:right w:val="single" w:sz="4" w:space="0" w:color="auto"/>
            </w:tcBorders>
          </w:tcPr>
          <w:p w14:paraId="2B13AC47" w14:textId="78910C63" w:rsidR="008D5E5F" w:rsidRDefault="008D5E5F" w:rsidP="008D5E5F">
            <w:pPr>
              <w:rPr>
                <w:color w:val="1F497D"/>
              </w:rPr>
            </w:pPr>
          </w:p>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0" w:name="_Toc379450809"/>
      <w:bookmarkStart w:id="21" w:name="_Toc390274893"/>
      <w:r>
        <w:t>Assumptions</w:t>
      </w:r>
      <w:bookmarkEnd w:id="20"/>
      <w:bookmarkEnd w:id="21"/>
    </w:p>
    <w:p w14:paraId="280E1843" w14:textId="77777777" w:rsidR="005739B9" w:rsidRDefault="005739B9" w:rsidP="003778D5">
      <w:pPr>
        <w:pStyle w:val="BodyText"/>
      </w:pPr>
    </w:p>
    <w:p w14:paraId="247A68C3" w14:textId="70DB6F77" w:rsidR="005739B9" w:rsidRDefault="005739B9" w:rsidP="003778D5">
      <w:pPr>
        <w:pStyle w:val="BodyText"/>
      </w:pPr>
      <w:r>
        <w:t xml:space="preserve">The following items are </w:t>
      </w:r>
      <w:proofErr w:type="spellStart"/>
      <w:r w:rsidR="00B82458">
        <w:t>assumptions</w:t>
      </w:r>
      <w:r>
        <w:t>out</w:t>
      </w:r>
      <w:proofErr w:type="spellEnd"/>
      <w:r>
        <w:t xml:space="preserve"> of scope</w:t>
      </w:r>
    </w:p>
    <w:p w14:paraId="6F66ED1E" w14:textId="77777777" w:rsidR="005739B9" w:rsidRDefault="005739B9" w:rsidP="005739B9">
      <w:pPr>
        <w:pStyle w:val="ListParagraph"/>
        <w:numPr>
          <w:ilvl w:val="0"/>
          <w:numId w:val="21"/>
        </w:numPr>
      </w:pPr>
      <w:r>
        <w:t xml:space="preserve">The concept of a </w:t>
      </w:r>
      <w:proofErr w:type="spellStart"/>
      <w:r>
        <w:t>small_container_factors</w:t>
      </w:r>
      <w:proofErr w:type="spellEnd"/>
      <w:r>
        <w:t xml:space="preserve"> table for d</w:t>
      </w:r>
      <w:r w:rsidRPr="00425538">
        <w:t>ivision specific variables</w:t>
      </w:r>
      <w:r>
        <w:t xml:space="preserve"> </w:t>
      </w:r>
    </w:p>
    <w:p w14:paraId="4884D39E" w14:textId="77777777" w:rsidR="005739B9" w:rsidRDefault="005739B9" w:rsidP="005739B9">
      <w:pPr>
        <w:pStyle w:val="ListParagraph"/>
        <w:numPr>
          <w:ilvl w:val="0"/>
          <w:numId w:val="22"/>
        </w:numPr>
      </w:pPr>
      <w:r>
        <w:t>Cost</w:t>
      </w:r>
    </w:p>
    <w:p w14:paraId="398D104A" w14:textId="77777777" w:rsidR="005739B9" w:rsidRDefault="005739B9" w:rsidP="005739B9">
      <w:pPr>
        <w:pStyle w:val="ListParagraph"/>
        <w:numPr>
          <w:ilvl w:val="0"/>
          <w:numId w:val="22"/>
        </w:numPr>
      </w:pPr>
      <w:r w:rsidRPr="00425538">
        <w:t>Cart Multipliers (1</w:t>
      </w:r>
      <w:r w:rsidRPr="005739B9">
        <w:rPr>
          <w:vertAlign w:val="superscript"/>
        </w:rPr>
        <w:t>st</w:t>
      </w:r>
      <w:r w:rsidRPr="00425538">
        <w:t xml:space="preserve"> vs 2</w:t>
      </w:r>
      <w:r w:rsidRPr="005739B9">
        <w:rPr>
          <w:vertAlign w:val="superscript"/>
        </w:rPr>
        <w:t>nd</w:t>
      </w:r>
      <w:r w:rsidRPr="00425538">
        <w:t xml:space="preserve"> and subsequent lifts)</w:t>
      </w:r>
    </w:p>
    <w:p w14:paraId="3376713B" w14:textId="79702612" w:rsidR="005739B9" w:rsidRDefault="005739B9" w:rsidP="00B82458">
      <w:pPr>
        <w:pStyle w:val="ListParagraph"/>
        <w:numPr>
          <w:ilvl w:val="0"/>
          <w:numId w:val="22"/>
        </w:numPr>
      </w:pPr>
      <w:r w:rsidRPr="00425538">
        <w:t>ROI Factor (currently 6.5 for all)</w:t>
      </w:r>
    </w:p>
    <w:p w14:paraId="35AD7DD7" w14:textId="091DA82A" w:rsidR="005739B9" w:rsidRPr="005739B9" w:rsidRDefault="005739B9" w:rsidP="005739B9">
      <w:pPr>
        <w:pStyle w:val="ListParagraph"/>
        <w:numPr>
          <w:ilvl w:val="0"/>
          <w:numId w:val="20"/>
        </w:numPr>
        <w:ind w:left="720"/>
      </w:pPr>
      <w:r w:rsidRPr="005739B9">
        <w:rPr>
          <w:color w:val="000000"/>
        </w:rPr>
        <w:t>Safety cost with driver leaving the truck</w:t>
      </w:r>
    </w:p>
    <w:p w14:paraId="0711B512" w14:textId="133CB92C" w:rsidR="005739B9" w:rsidRDefault="00BF2246" w:rsidP="00093391">
      <w:pPr>
        <w:pStyle w:val="ListParagraph"/>
        <w:numPr>
          <w:ilvl w:val="0"/>
          <w:numId w:val="20"/>
        </w:numPr>
        <w:ind w:left="720"/>
      </w:pPr>
      <w:r>
        <w:t xml:space="preserve">The exercise of updating the </w:t>
      </w:r>
      <w:r w:rsidR="009F6500">
        <w:t xml:space="preserve">configuration templates </w:t>
      </w:r>
      <w:r>
        <w:t>will need to be performed by the divisions.</w:t>
      </w:r>
    </w:p>
    <w:p w14:paraId="47971680" w14:textId="352D87B2" w:rsidR="009F6500" w:rsidRDefault="009F6500" w:rsidP="00093391">
      <w:pPr>
        <w:pStyle w:val="ListParagraph"/>
        <w:numPr>
          <w:ilvl w:val="0"/>
          <w:numId w:val="20"/>
        </w:numPr>
        <w:ind w:left="720"/>
      </w:pPr>
      <w:r>
        <w:t>Changes to trucks data table to incorporate multipliers or time adjustments for carts on the basis of truck type (Operations suggested that the primary differential in service times is determined by the type of truck and any technology modifications to truck).  Nonetheless, for divisions where carts are predominate, it is assumed that such factors are already included in their division stats.</w:t>
      </w:r>
    </w:p>
    <w:p w14:paraId="0E00A7A2" w14:textId="2892A33C" w:rsidR="00B82458" w:rsidRDefault="00B82458" w:rsidP="00093391">
      <w:pPr>
        <w:pStyle w:val="ListParagraph"/>
        <w:numPr>
          <w:ilvl w:val="0"/>
          <w:numId w:val="20"/>
        </w:numPr>
        <w:ind w:left="720"/>
      </w:pPr>
      <w:r>
        <w:t>Container sizes not included in BFR001 will not be supported or translated into a different size.</w:t>
      </w:r>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0C009ED8" w:rsidR="00D43756" w:rsidRPr="00D43756" w:rsidRDefault="00D43756" w:rsidP="00093391">
      <w:pPr>
        <w:pStyle w:val="ListParagraph"/>
        <w:numPr>
          <w:ilvl w:val="0"/>
          <w:numId w:val="20"/>
        </w:numPr>
        <w:ind w:left="720"/>
      </w:pPr>
      <w:r w:rsidRPr="00D43756">
        <w:t xml:space="preserve">The cart sizes outlined in BFR001 will account for just over 98% of carts currently deployed.  Note that the specific cart code is dependent on waste type selection at a minimum.  As part of the process, </w:t>
      </w:r>
      <w:r w:rsidRPr="00D43756">
        <w:lastRenderedPageBreak/>
        <w:t>we’ll need to make sure that any supported cart types (e.g., CA, RC and SL) have parts data fully populated (TDR-001).</w:t>
      </w:r>
    </w:p>
    <w:p w14:paraId="0B3D0389" w14:textId="77777777" w:rsidR="005739B9" w:rsidRPr="003778D5" w:rsidRDefault="005739B9" w:rsidP="005739B9">
      <w:pPr>
        <w:pStyle w:val="BodyText"/>
      </w:pPr>
    </w:p>
    <w:p w14:paraId="3CA00803" w14:textId="2CF1881C" w:rsidR="00A159AB" w:rsidRDefault="00A159AB" w:rsidP="00CB033E">
      <w:pPr>
        <w:pStyle w:val="Heading1"/>
      </w:pPr>
      <w:bookmarkStart w:id="22" w:name="_Toc390274894"/>
      <w:r>
        <w:t>Technical Design</w:t>
      </w:r>
      <w:bookmarkEnd w:id="22"/>
    </w:p>
    <w:p w14:paraId="3CA00804" w14:textId="77777777" w:rsidR="00A159AB" w:rsidRDefault="00A159AB" w:rsidP="00A159AB">
      <w:pPr>
        <w:pStyle w:val="Heading2"/>
        <w:jc w:val="both"/>
      </w:pPr>
      <w:bookmarkStart w:id="23" w:name="_Toc390274895"/>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390274898"/>
      <w:r>
        <w:t>Process Flow</w:t>
      </w:r>
      <w:bookmarkEnd w:id="24"/>
      <w:r>
        <w:t xml:space="preserve"> and Mock Ups</w:t>
      </w:r>
    </w:p>
    <w:p w14:paraId="2AB6AE76" w14:textId="7D168248" w:rsidR="001C3DEF" w:rsidRDefault="00EC63CB" w:rsidP="00EC63CB">
      <w:pPr>
        <w:pStyle w:val="BodyText"/>
        <w:ind w:left="576"/>
      </w:pPr>
      <w:r>
        <w:t>Use current container process flow and logic</w:t>
      </w:r>
    </w:p>
    <w:p w14:paraId="0299CADC" w14:textId="2E4C21D3" w:rsidR="00994148" w:rsidRDefault="00AD4A0D" w:rsidP="00B82458">
      <w:pPr>
        <w:pStyle w:val="BodyText"/>
        <w:ind w:left="576"/>
      </w:pPr>
      <w:r>
        <w:t>Mockups</w:t>
      </w:r>
      <w:r w:rsidR="00B82458">
        <w:t xml:space="preserve"> </w:t>
      </w:r>
      <w:r>
        <w:t>hopefully to come soon…</w:t>
      </w:r>
    </w:p>
    <w:p w14:paraId="47E65A81" w14:textId="77777777" w:rsidR="00B82458" w:rsidRPr="001C3DEF" w:rsidRDefault="00B82458" w:rsidP="00B82458">
      <w:pPr>
        <w:pStyle w:val="BodyText"/>
        <w:ind w:left="576"/>
      </w:pPr>
    </w:p>
    <w:p w14:paraId="6455F030" w14:textId="2D45204D" w:rsidR="00F11618" w:rsidRDefault="00A159AB" w:rsidP="00F11618">
      <w:pPr>
        <w:pStyle w:val="Heading2"/>
        <w:jc w:val="both"/>
      </w:pPr>
      <w:bookmarkStart w:id="25" w:name="_Toc390274899"/>
      <w:r>
        <w:t>Functional</w:t>
      </w:r>
      <w:r w:rsidR="00A910C9">
        <w:t xml:space="preserve"> Logic</w:t>
      </w:r>
      <w:bookmarkEnd w:id="25"/>
      <w:r w:rsidR="00A910C9">
        <w:t xml:space="preserve"> </w:t>
      </w:r>
    </w:p>
    <w:p w14:paraId="39F71A06" w14:textId="5A6FDCBF" w:rsidR="005E0E02" w:rsidRPr="007340F2" w:rsidRDefault="00EC63CB" w:rsidP="00EC63CB">
      <w:pPr>
        <w:pStyle w:val="BodyText"/>
        <w:ind w:left="576"/>
      </w:pPr>
      <w:r>
        <w:t>Use current container functional and pricing logic</w:t>
      </w:r>
      <w:r w:rsidR="005E0E02">
        <w:t xml:space="preserve">           </w:t>
      </w:r>
    </w:p>
    <w:p w14:paraId="2FE2CD89" w14:textId="77777777" w:rsidR="007410EA" w:rsidRDefault="007410EA" w:rsidP="00F11618">
      <w:pPr>
        <w:pStyle w:val="BodyText"/>
      </w:pPr>
    </w:p>
    <w:p w14:paraId="3CA0081D" w14:textId="77777777" w:rsidR="00A910C9" w:rsidRDefault="00A910C9" w:rsidP="00A910C9">
      <w:pPr>
        <w:pStyle w:val="Heading2"/>
        <w:jc w:val="both"/>
      </w:pPr>
      <w:bookmarkStart w:id="26" w:name="_Toc390274903"/>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766B49B4" w:rsidR="00A910C9" w:rsidRDefault="00734AE4" w:rsidP="00A910C9">
      <w:pPr>
        <w:pStyle w:val="Heading2"/>
        <w:jc w:val="both"/>
      </w:pPr>
      <w:bookmarkStart w:id="27" w:name="_Toc390274907"/>
      <w:proofErr w:type="spellStart"/>
      <w:r>
        <w:t>InfoPro</w:t>
      </w:r>
      <w:proofErr w:type="spellEnd"/>
      <w:r>
        <w:t xml:space="preserve"> </w:t>
      </w:r>
      <w:r w:rsidR="00A910C9">
        <w:t>Interface</w:t>
      </w:r>
      <w:bookmarkEnd w:id="27"/>
    </w:p>
    <w:p w14:paraId="3CA00897" w14:textId="6D023F42" w:rsidR="00A910C9" w:rsidRDefault="00876EF0" w:rsidP="00876EF0">
      <w:pPr>
        <w:ind w:left="576"/>
        <w:jc w:val="both"/>
      </w:pPr>
      <w:r>
        <w:t xml:space="preserve">Per email from Candace to Brittany </w:t>
      </w:r>
      <w:r w:rsidRPr="00876EF0">
        <w:t xml:space="preserve">on 9/29/14, </w:t>
      </w:r>
      <w:proofErr w:type="spellStart"/>
      <w:r w:rsidRPr="00876EF0">
        <w:t>InfoPro</w:t>
      </w:r>
      <w:proofErr w:type="spellEnd"/>
      <w:r w:rsidRPr="00876EF0">
        <w:t xml:space="preserve"> </w:t>
      </w:r>
      <w:r>
        <w:t xml:space="preserve">developers </w:t>
      </w:r>
      <w:r w:rsidRPr="00876EF0">
        <w:t>confirm</w:t>
      </w:r>
      <w:r>
        <w:t>ed</w:t>
      </w:r>
      <w:r w:rsidRPr="00876EF0">
        <w:t xml:space="preserve"> as long as the container type/size information comes to us in the existing XML tags there should be no issue on our side</w:t>
      </w:r>
    </w:p>
    <w:p w14:paraId="263E4206" w14:textId="690254F1" w:rsidR="006D7B32" w:rsidRDefault="00C539DD" w:rsidP="00E305F7">
      <w:pPr>
        <w:pStyle w:val="Heading1"/>
        <w:numPr>
          <w:ilvl w:val="0"/>
          <w:numId w:val="4"/>
        </w:numPr>
        <w:jc w:val="both"/>
      </w:pPr>
      <w:bookmarkStart w:id="28" w:name="_Toc390274908"/>
      <w:r>
        <w:t>Report Changes</w:t>
      </w:r>
      <w:bookmarkEnd w:id="28"/>
    </w:p>
    <w:p w14:paraId="6A09C085" w14:textId="132B8D2E" w:rsidR="00050320" w:rsidRPr="00050320" w:rsidRDefault="00050320" w:rsidP="00050320">
      <w:pPr>
        <w:pStyle w:val="BodyText"/>
      </w:pPr>
      <w:r>
        <w:t>No Changes</w:t>
      </w:r>
    </w:p>
    <w:p w14:paraId="3CA00899" w14:textId="3B88BADD" w:rsidR="00A910C9" w:rsidRDefault="00A910C9" w:rsidP="00A910C9">
      <w:pPr>
        <w:pStyle w:val="Heading1"/>
        <w:jc w:val="both"/>
      </w:pPr>
      <w:bookmarkStart w:id="29" w:name="_Toc390274909"/>
      <w:r>
        <w:t>Technical Architecture</w:t>
      </w:r>
      <w:bookmarkEnd w:id="29"/>
    </w:p>
    <w:p w14:paraId="3CA0089A" w14:textId="77777777" w:rsidR="00A910C9" w:rsidRDefault="00A910C9" w:rsidP="00A910C9">
      <w:pPr>
        <w:pStyle w:val="Heading2"/>
        <w:jc w:val="both"/>
      </w:pPr>
      <w:bookmarkStart w:id="30" w:name="_Toc390274910"/>
      <w:r>
        <w:t>Infrastructure Considerations</w:t>
      </w:r>
      <w:bookmarkEnd w:id="30"/>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31" w:name="_Toc390274911"/>
      <w:r>
        <w:t>Data Retention</w:t>
      </w:r>
      <w:bookmarkEnd w:id="31"/>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32" w:name="_Toc390274912"/>
      <w:r>
        <w:t>High Availability</w:t>
      </w:r>
      <w:bookmarkEnd w:id="32"/>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33" w:name="_Toc390274913"/>
      <w:r>
        <w:t>Backup, Rollback and Recover</w:t>
      </w:r>
      <w:bookmarkEnd w:id="33"/>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34" w:name="_Toc390274914"/>
      <w:r>
        <w:lastRenderedPageBreak/>
        <w:t>Other Design Specifications</w:t>
      </w:r>
      <w:bookmarkEnd w:id="34"/>
      <w:r>
        <w:t xml:space="preserve"> </w:t>
      </w:r>
    </w:p>
    <w:p w14:paraId="3CA008A3" w14:textId="77777777" w:rsidR="00A910C9" w:rsidRDefault="00A910C9" w:rsidP="00A910C9">
      <w:pPr>
        <w:pStyle w:val="Heading2"/>
        <w:jc w:val="both"/>
      </w:pPr>
      <w:bookmarkStart w:id="35" w:name="_Toc390274915"/>
      <w:r>
        <w:t>Build/Configure Standards</w:t>
      </w:r>
      <w:bookmarkEnd w:id="35"/>
    </w:p>
    <w:p w14:paraId="3CA008A4" w14:textId="2E5721F8" w:rsidR="00A910C9" w:rsidRDefault="00A910C9" w:rsidP="00A910C9">
      <w:pPr>
        <w:jc w:val="both"/>
      </w:pPr>
      <w:r>
        <w:t xml:space="preserve">Reference </w:t>
      </w:r>
      <w:proofErr w:type="spellStart"/>
      <w:r>
        <w:t>Aldon</w:t>
      </w:r>
      <w:proofErr w:type="spellEnd"/>
      <w:r>
        <w:t xml:space="preserve"> procedures for </w:t>
      </w:r>
      <w:r w:rsidR="00050320">
        <w:t>Capture</w:t>
      </w:r>
      <w:r>
        <w:t>.</w:t>
      </w:r>
    </w:p>
    <w:p w14:paraId="3CA008A5" w14:textId="77777777" w:rsidR="00A910C9" w:rsidRDefault="00A910C9" w:rsidP="00A910C9">
      <w:pPr>
        <w:pStyle w:val="Heading2"/>
        <w:jc w:val="both"/>
        <w:rPr>
          <w:bCs/>
          <w:iCs/>
          <w:kern w:val="0"/>
        </w:rPr>
      </w:pPr>
      <w:bookmarkStart w:id="36" w:name="_Toc390274916"/>
      <w:r>
        <w:rPr>
          <w:bCs/>
          <w:iCs/>
          <w:kern w:val="0"/>
        </w:rPr>
        <w:t>Policies and Procedures</w:t>
      </w:r>
      <w:bookmarkEnd w:id="36"/>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37" w:name="_Toc390274917"/>
      <w:r w:rsidRPr="005B22F2">
        <w:rPr>
          <w:bCs/>
          <w:iCs/>
          <w:kern w:val="0"/>
        </w:rPr>
        <w:t>Security De</w:t>
      </w:r>
      <w:r w:rsidR="005726AE" w:rsidRPr="005B22F2">
        <w:rPr>
          <w:bCs/>
          <w:iCs/>
          <w:kern w:val="0"/>
        </w:rPr>
        <w:t>sign</w:t>
      </w:r>
      <w:bookmarkEnd w:id="37"/>
    </w:p>
    <w:p w14:paraId="3CA008A8" w14:textId="77777777" w:rsidR="00A910C9" w:rsidRPr="005B22F2" w:rsidRDefault="00A910C9" w:rsidP="00A910C9">
      <w:pPr>
        <w:pStyle w:val="Heading3"/>
        <w:jc w:val="both"/>
      </w:pPr>
      <w:bookmarkStart w:id="38" w:name="_Toc390274918"/>
      <w:r w:rsidRPr="005B22F2">
        <w:t>New or Existing Security</w:t>
      </w:r>
      <w:bookmarkEnd w:id="38"/>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39" w:name="_Toc390274919"/>
      <w:r>
        <w:t>Hierarchal Data Access</w:t>
      </w:r>
      <w:bookmarkEnd w:id="39"/>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40" w:name="_Toc390274920"/>
      <w:r>
        <w:t>Infrastructure</w:t>
      </w:r>
      <w:bookmarkEnd w:id="40"/>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41" w:name="_Toc390274921"/>
      <w:r>
        <w:t>Environmental</w:t>
      </w:r>
      <w:bookmarkEnd w:id="41"/>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42" w:name="_Toc390274922"/>
      <w:r>
        <w:t>Appendix</w:t>
      </w:r>
      <w:bookmarkEnd w:id="42"/>
      <w:r>
        <w:t xml:space="preserve"> </w:t>
      </w:r>
    </w:p>
    <w:bookmarkEnd w:id="16"/>
    <w:bookmarkEnd w:id="17"/>
    <w:bookmarkEnd w:id="18"/>
    <w:p w14:paraId="3CA008B5" w14:textId="3E4566AD" w:rsidR="00A910C9" w:rsidRDefault="00A910C9" w:rsidP="00A910C9">
      <w:pPr>
        <w:jc w:val="both"/>
      </w:pPr>
    </w:p>
    <w:sectPr w:rsidR="00A910C9"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3DC58" w14:textId="77777777" w:rsidR="0070374C" w:rsidRDefault="0070374C">
      <w:r>
        <w:separator/>
      </w:r>
    </w:p>
  </w:endnote>
  <w:endnote w:type="continuationSeparator" w:id="0">
    <w:p w14:paraId="68115A75" w14:textId="77777777" w:rsidR="0070374C" w:rsidRDefault="0070374C">
      <w:r>
        <w:continuationSeparator/>
      </w:r>
    </w:p>
  </w:endnote>
  <w:endnote w:type="continuationNotice" w:id="1">
    <w:p w14:paraId="23903C55" w14:textId="77777777" w:rsidR="0070374C" w:rsidRDefault="00703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6655F6D" w:rsidR="00E50C89" w:rsidRDefault="001555F7" w:rsidP="00F17406">
    <w:pPr>
      <w:pStyle w:val="Footer"/>
      <w:pBdr>
        <w:top w:val="single" w:sz="18" w:space="1" w:color="auto"/>
      </w:pBdr>
      <w:tabs>
        <w:tab w:val="clear" w:pos="8640"/>
        <w:tab w:val="right" w:pos="9360"/>
      </w:tabs>
      <w:ind w:left="-720" w:right="-360"/>
    </w:pPr>
    <w:r>
      <w:t>BI Reporting Changes 01</w:t>
    </w:r>
    <w:r w:rsidR="00E50C89">
      <w:tab/>
    </w:r>
    <w:r w:rsidR="00E50C89">
      <w:fldChar w:fldCharType="begin"/>
    </w:r>
    <w:r w:rsidR="00E50C89">
      <w:instrText xml:space="preserve"> DATE  \@ "M/d/yyyy h:mm:ss am/pm" \l  \* MERGEFORMAT </w:instrText>
    </w:r>
    <w:r w:rsidR="00E50C89">
      <w:fldChar w:fldCharType="separate"/>
    </w:r>
    <w:r>
      <w:rPr>
        <w:noProof/>
      </w:rPr>
      <w:t>2/18/2015 4:44:38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ED23B3">
      <w:rPr>
        <w:rStyle w:val="PageNumber"/>
        <w:rFonts w:ascii="Arial" w:hAnsi="Arial" w:cs="Arial"/>
        <w:b w:val="0"/>
        <w:i/>
        <w:noProof/>
        <w:sz w:val="16"/>
        <w:szCs w:val="16"/>
      </w:rPr>
      <w:t>7</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09A81" w14:textId="77777777" w:rsidR="0070374C" w:rsidRDefault="0070374C">
      <w:r>
        <w:separator/>
      </w:r>
    </w:p>
  </w:footnote>
  <w:footnote w:type="continuationSeparator" w:id="0">
    <w:p w14:paraId="430DE33F" w14:textId="77777777" w:rsidR="0070374C" w:rsidRDefault="0070374C">
      <w:r>
        <w:continuationSeparator/>
      </w:r>
    </w:p>
  </w:footnote>
  <w:footnote w:type="continuationNotice" w:id="1">
    <w:p w14:paraId="052EC913" w14:textId="77777777" w:rsidR="0070374C" w:rsidRDefault="007037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1476C"/>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46DA8"/>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2"/>
  </w:num>
  <w:num w:numId="4">
    <w:abstractNumId w:val="11"/>
  </w:num>
  <w:num w:numId="5">
    <w:abstractNumId w:val="21"/>
  </w:num>
  <w:num w:numId="6">
    <w:abstractNumId w:val="23"/>
  </w:num>
  <w:num w:numId="7">
    <w:abstractNumId w:val="22"/>
  </w:num>
  <w:num w:numId="8">
    <w:abstractNumId w:val="24"/>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6"/>
  </w:num>
  <w:num w:numId="17">
    <w:abstractNumId w:val="8"/>
  </w:num>
  <w:num w:numId="18">
    <w:abstractNumId w:val="14"/>
  </w:num>
  <w:num w:numId="19">
    <w:abstractNumId w:val="17"/>
  </w:num>
  <w:num w:numId="20">
    <w:abstractNumId w:val="19"/>
  </w:num>
  <w:num w:numId="21">
    <w:abstractNumId w:val="15"/>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3"/>
    <w:lvlOverride w:ilvl="0">
      <w:startOverride w:val="1"/>
    </w:lvlOverride>
  </w:num>
  <w:num w:numId="3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55F7"/>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374C"/>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23B3"/>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1079281">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BA9DFEFC-2FE6-49D8-88D0-D4824B23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14</cp:revision>
  <cp:lastPrinted>2012-12-07T17:42:00Z</cp:lastPrinted>
  <dcterms:created xsi:type="dcterms:W3CDTF">2014-09-25T21:47:00Z</dcterms:created>
  <dcterms:modified xsi:type="dcterms:W3CDTF">2015-02-19T00:03:00Z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