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857CE8">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tcPr>
          <w:p w14:paraId="3CA00725" w14:textId="5990E967" w:rsidR="00D34864" w:rsidRPr="006C54CB" w:rsidRDefault="00D34864" w:rsidP="00D34864">
            <w:pPr>
              <w:pStyle w:val="TableText"/>
              <w:widowControl/>
              <w:jc w:val="both"/>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857CE8">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tcPr>
          <w:p w14:paraId="3CA0073E" w14:textId="2E213C0C" w:rsidR="00D34864" w:rsidRPr="006C54CB" w:rsidRDefault="00D34864" w:rsidP="00D34864">
            <w:pPr>
              <w:pStyle w:val="TableText"/>
              <w:jc w:val="both"/>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857CE8">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tcPr>
          <w:p w14:paraId="3CA00743" w14:textId="2329DB3E" w:rsidR="00D34864" w:rsidRPr="006C54CB" w:rsidRDefault="0075399C" w:rsidP="00D34864">
            <w:pPr>
              <w:pStyle w:val="TableText"/>
              <w:jc w:val="both"/>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857CE8">
        <w:tc>
          <w:tcPr>
            <w:tcW w:w="1278" w:type="dxa"/>
          </w:tcPr>
          <w:p w14:paraId="3CA00747" w14:textId="41F028A1" w:rsidR="00D34864" w:rsidRPr="006C54CB" w:rsidRDefault="00BB1C1D" w:rsidP="00D34864">
            <w:pPr>
              <w:pStyle w:val="TableText"/>
              <w:jc w:val="both"/>
              <w:rPr>
                <w:rFonts w:asciiTheme="minorHAnsi" w:hAnsiTheme="minorHAnsi"/>
              </w:rPr>
            </w:pPr>
            <w:r>
              <w:rPr>
                <w:rFonts w:asciiTheme="minorHAnsi" w:hAnsiTheme="minorHAnsi"/>
              </w:rPr>
              <w:t>3/10/2015</w:t>
            </w:r>
          </w:p>
        </w:tc>
        <w:tc>
          <w:tcPr>
            <w:tcW w:w="1080" w:type="dxa"/>
          </w:tcPr>
          <w:p w14:paraId="3CA00748" w14:textId="35538FAA" w:rsidR="00D34864" w:rsidRPr="006C54CB" w:rsidRDefault="00BB1C1D" w:rsidP="00D34864">
            <w:pPr>
              <w:pStyle w:val="TableText"/>
              <w:jc w:val="both"/>
              <w:rPr>
                <w:rFonts w:asciiTheme="minorHAnsi" w:hAnsiTheme="minorHAnsi"/>
              </w:rPr>
            </w:pPr>
            <w:r>
              <w:rPr>
                <w:rFonts w:asciiTheme="minorHAnsi" w:hAnsiTheme="minorHAnsi"/>
              </w:rPr>
              <w:t>1.4</w:t>
            </w:r>
          </w:p>
        </w:tc>
        <w:tc>
          <w:tcPr>
            <w:tcW w:w="3814" w:type="dxa"/>
          </w:tcPr>
          <w:p w14:paraId="3CA00749" w14:textId="61BB4B2A" w:rsidR="00D34864" w:rsidRPr="006C54CB" w:rsidRDefault="00BB1C1D" w:rsidP="00D34864">
            <w:pPr>
              <w:pStyle w:val="TableText"/>
              <w:rPr>
                <w:rFonts w:asciiTheme="minorHAnsi" w:hAnsiTheme="minorHAnsi"/>
              </w:rPr>
            </w:pPr>
            <w:r>
              <w:rPr>
                <w:rFonts w:asciiTheme="minorHAnsi" w:hAnsiTheme="minorHAnsi"/>
              </w:rPr>
              <w:t>Updated TDR-004 based on design review</w:t>
            </w:r>
          </w:p>
        </w:tc>
        <w:tc>
          <w:tcPr>
            <w:tcW w:w="2576" w:type="dxa"/>
          </w:tcPr>
          <w:p w14:paraId="3CA0074A" w14:textId="693F855D" w:rsidR="00D34864" w:rsidRPr="006C54CB" w:rsidRDefault="00BB1C1D" w:rsidP="00D34864">
            <w:pPr>
              <w:pStyle w:val="TableText"/>
              <w:jc w:val="both"/>
              <w:rPr>
                <w:rFonts w:asciiTheme="minorHAnsi" w:hAnsiTheme="minorHAnsi"/>
              </w:rPr>
            </w:pPr>
            <w:r>
              <w:rPr>
                <w:rFonts w:asciiTheme="minorHAnsi" w:hAnsiTheme="minorHAnsi"/>
              </w:rPr>
              <w:t>John Palubinskas</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667981"/>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66798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66798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The entries should be displayed alphabetically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Pr>
                <w:rFonts w:asciiTheme="minorHAnsi" w:hAnsiTheme="minorHAnsi"/>
              </w:rPr>
              <w:t>Help text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75pt" o:ole="">
                  <v:imagedata r:id="rId15" o:title=""/>
                </v:shape>
                <o:OLEObject Type="Embed" ProgID="AcroExch.Document.11" ShapeID="_x0000_i1025" DrawAspect="Icon" ObjectID="_1487502528" r:id="rId16"/>
              </w:object>
            </w:r>
          </w:p>
          <w:p w14:paraId="44EC2B55" w14:textId="77777777" w:rsidR="00BB1C1D" w:rsidRDefault="00DA4746" w:rsidP="00DA4746">
            <w:pPr>
              <w:spacing w:line="276" w:lineRule="auto"/>
              <w:rPr>
                <w:rFonts w:asciiTheme="minorHAnsi" w:hAnsiTheme="minorHAnsi"/>
              </w:rPr>
            </w:pPr>
            <w:r>
              <w:rPr>
                <w:rFonts w:asciiTheme="minorHAnsi" w:hAnsiTheme="minorHAnsi"/>
              </w:rPr>
              <w:t xml:space="preserve">The trans/reason and competitor code boxes will be removed from the office use CSA.  </w:t>
            </w:r>
          </w:p>
          <w:p w14:paraId="076964A6" w14:textId="334740F5" w:rsidR="00DA4746" w:rsidRDefault="00DA4746" w:rsidP="00DA4746">
            <w:pPr>
              <w:spacing w:line="276" w:lineRule="auto"/>
              <w:rPr>
                <w:rFonts w:asciiTheme="minorHAnsi" w:hAnsiTheme="minorHAnsi"/>
              </w:rPr>
            </w:pPr>
            <w:r>
              <w:rPr>
                <w:rFonts w:asciiTheme="minorHAnsi" w:hAnsiTheme="minorHAnsi"/>
              </w:rPr>
              <w:t>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621BD2CB" w:rsidR="00F05B9E" w:rsidRDefault="00F05B9E" w:rsidP="00242448">
            <w:pPr>
              <w:spacing w:line="276" w:lineRule="auto"/>
              <w:rPr>
                <w:rFonts w:asciiTheme="minorHAnsi" w:hAnsiTheme="minorHAnsi"/>
              </w:rPr>
            </w:pPr>
            <w:r>
              <w:rPr>
                <w:rFonts w:asciiTheme="minorHAnsi" w:hAnsiTheme="minorHAnsi"/>
              </w:rPr>
              <w:t>TBD: what do we code if overall units do not change, but service levels are adjusted? (Brittany waiting on confirmation from STR reporting)</w:t>
            </w:r>
          </w:p>
          <w:p w14:paraId="6072A10B" w14:textId="77777777" w:rsidR="00F05B9E" w:rsidRDefault="00F05B9E"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77777777"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667984"/>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 xml:space="preserve">that </w:t>
            </w:r>
            <w:proofErr w:type="spellStart"/>
            <w:r w:rsidR="00D0250D">
              <w:rPr>
                <w:rFonts w:asciiTheme="minorHAnsi" w:hAnsiTheme="minorHAnsi"/>
              </w:rPr>
              <w:t>refrerence</w:t>
            </w:r>
            <w:proofErr w:type="spellEnd"/>
            <w:r w:rsidR="00D0250D">
              <w:rPr>
                <w:rFonts w:asciiTheme="minorHAnsi" w:hAnsiTheme="minorHAnsi"/>
              </w:rPr>
              <w:t xml:space="preserv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BB1C1D">
            <w:pPr>
              <w:pStyle w:val="ListParagraph"/>
              <w:numPr>
                <w:ilvl w:val="0"/>
                <w:numId w:val="27"/>
              </w:numPr>
              <w:ind w:left="252" w:hanging="252"/>
              <w:rPr>
                <w:rFonts w:asciiTheme="minorHAnsi" w:hAnsiTheme="minorHAnsi"/>
                <w:b/>
              </w:rPr>
            </w:pPr>
            <w:r w:rsidRPr="003B5499">
              <w:rPr>
                <w:rFonts w:asciiTheme="minorHAnsi" w:hAnsiTheme="minorHAnsi"/>
              </w:rPr>
              <w:t xml:space="preserve">For Opportunity Status ‘Close </w:t>
            </w:r>
            <w:bookmarkStart w:id="19" w:name="_GoBack"/>
            <w:bookmarkEnd w:id="19"/>
            <w:r w:rsidRPr="003B5499">
              <w:rPr>
                <w:rFonts w:asciiTheme="minorHAnsi" w:hAnsiTheme="minorHAnsi"/>
              </w:rPr>
              <w:t>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transactionCode_line</w:t>
            </w:r>
            <w:proofErr w:type="spellEnd"/>
            <w:r w:rsidR="009A21ED" w:rsidRPr="00B10433">
              <w:rPr>
                <w:rFonts w:asciiTheme="minorHAnsi" w:hAnsiTheme="minorHAnsi"/>
              </w:rPr>
              <w:t xml:space="preserve"> – 2 character transaction code</w:t>
            </w:r>
          </w:p>
          <w:p w14:paraId="7BFC43DA" w14:textId="2ED85E12"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reasonCode_line</w:t>
            </w:r>
            <w:proofErr w:type="spellEnd"/>
            <w:r w:rsidR="009A21ED" w:rsidRPr="00B10433">
              <w:rPr>
                <w:rFonts w:asciiTheme="minorHAnsi" w:hAnsiTheme="minorHAnsi"/>
              </w:rPr>
              <w:t xml:space="preserve"> – 2 character reason code</w:t>
            </w:r>
          </w:p>
          <w:p w14:paraId="146BEF84" w14:textId="77777777" w:rsidR="00DC1227"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competitorCode_line</w:t>
            </w:r>
            <w:proofErr w:type="spellEnd"/>
            <w:r w:rsidR="009A21ED" w:rsidRPr="00B10433">
              <w:rPr>
                <w:rFonts w:asciiTheme="minorHAnsi" w:hAnsiTheme="minorHAnsi"/>
              </w:rPr>
              <w:t xml:space="preserve"> – 3 character competitor code</w:t>
            </w:r>
          </w:p>
          <w:p w14:paraId="0BD06536" w14:textId="77777777" w:rsidR="00B10433" w:rsidRDefault="00B10433" w:rsidP="00B10433">
            <w:pPr>
              <w:pStyle w:val="ListParagraph"/>
              <w:ind w:left="360"/>
              <w:rPr>
                <w:rFonts w:asciiTheme="minorHAnsi" w:hAnsiTheme="minorHAnsi"/>
              </w:rPr>
            </w:pPr>
          </w:p>
          <w:p w14:paraId="48B258AD" w14:textId="77777777" w:rsidR="00B10433" w:rsidRPr="00B10433" w:rsidRDefault="00B10433" w:rsidP="00B10433">
            <w:pPr>
              <w:pStyle w:val="ListParagraph"/>
              <w:ind w:left="252"/>
              <w:rPr>
                <w:rFonts w:asciiTheme="minorHAnsi" w:hAnsiTheme="minorHAnsi"/>
                <w:b/>
              </w:rPr>
            </w:pPr>
            <w:r w:rsidRPr="00B10433">
              <w:rPr>
                <w:rFonts w:asciiTheme="minorHAnsi" w:hAnsiTheme="minorHAnsi"/>
                <w:b/>
              </w:rPr>
              <w:t>Retired Attributes</w:t>
            </w:r>
          </w:p>
          <w:p w14:paraId="7B72C889" w14:textId="70D39595" w:rsidR="00B10433" w:rsidRDefault="00B10433" w:rsidP="00B10433">
            <w:pPr>
              <w:pStyle w:val="ListParagraph"/>
              <w:ind w:left="360"/>
              <w:rPr>
                <w:rFonts w:asciiTheme="minorHAnsi" w:hAnsiTheme="minorHAnsi"/>
              </w:rPr>
            </w:pPr>
            <w:r>
              <w:rPr>
                <w:rFonts w:asciiTheme="minorHAnsi" w:hAnsiTheme="minorHAnsi"/>
              </w:rPr>
              <w:t>For this release, we will populate the existing attributes below with the corresponding line item attributes from the first line item.  Note that this is temporary.  In a future release, these attributes will be retained but blanked out.</w:t>
            </w:r>
          </w:p>
          <w:p w14:paraId="41F4C4D8"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transactionCode_quote</w:t>
            </w:r>
            <w:proofErr w:type="spellEnd"/>
          </w:p>
          <w:p w14:paraId="66305980"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reasonCode_quote</w:t>
            </w:r>
            <w:proofErr w:type="spellEnd"/>
          </w:p>
          <w:p w14:paraId="0CB71759"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competitorCode_quote</w:t>
            </w:r>
            <w:proofErr w:type="spellEnd"/>
          </w:p>
          <w:p w14:paraId="2B13AC47" w14:textId="2D143645" w:rsidR="00B10433" w:rsidRPr="006B28BD" w:rsidRDefault="00B10433" w:rsidP="00B10433">
            <w:pPr>
              <w:pStyle w:val="ListParagraph"/>
              <w:ind w:left="360"/>
              <w:rPr>
                <w:rFonts w:asciiTheme="minorHAnsi" w:hAnsiTheme="minorHAnsi"/>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67076E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48CABACD"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667985"/>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Pr>
          <w:rFonts w:asciiTheme="minorHAnsi" w:hAnsiTheme="minorHAnsi"/>
        </w:rPr>
        <w:t>Close Account</w:t>
      </w:r>
      <w:r w:rsidR="00F93D19">
        <w:rPr>
          <w:rFonts w:asciiTheme="minorHAnsi" w:hAnsiTheme="minorHAnsi"/>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667986"/>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667987"/>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667988"/>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fldSimple w:instr=" STYLEREF 1 \s ">
        <w:r>
          <w:rPr>
            <w:noProof/>
          </w:rPr>
          <w:t>3</w:t>
        </w:r>
      </w:fldSimple>
      <w:r>
        <w:noBreakHyphen/>
      </w:r>
      <w:fldSimple w:instr=" SEQ Figure \* ARABIC \s 1 ">
        <w:r>
          <w:rPr>
            <w:noProof/>
          </w:rPr>
          <w:t>1</w:t>
        </w:r>
      </w:fldSimple>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fldSimple w:instr=" STYLEREF 1 \s ">
        <w:r>
          <w:rPr>
            <w:noProof/>
          </w:rPr>
          <w:t>3</w:t>
        </w:r>
      </w:fldSimple>
      <w:r>
        <w:noBreakHyphen/>
      </w:r>
      <w:fldSimple w:instr=" SEQ Figure \* ARABIC \s 1 ">
        <w:r>
          <w:rPr>
            <w:noProof/>
          </w:rPr>
          <w:t>2</w:t>
        </w:r>
      </w:fldSimple>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fldSimple w:instr=" STYLEREF 1 \s ">
        <w:r>
          <w:rPr>
            <w:noProof/>
          </w:rPr>
          <w:t>3</w:t>
        </w:r>
      </w:fldSimple>
      <w:r>
        <w:noBreakHyphen/>
      </w:r>
      <w:fldSimple w:instr=" SEQ Figure \* ARABIC \s 1 ">
        <w:r>
          <w:rPr>
            <w:noProof/>
          </w:rPr>
          <w:t>3</w:t>
        </w:r>
      </w:fldSimple>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78BA3A8"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fldSimple w:instr=" STYLEREF 1 \s ">
        <w:r>
          <w:rPr>
            <w:noProof/>
          </w:rPr>
          <w:t>3</w:t>
        </w:r>
      </w:fldSimple>
      <w:r>
        <w:noBreakHyphen/>
      </w:r>
      <w:fldSimple w:instr=" SEQ Figure \* ARABIC \s 1 ">
        <w:r>
          <w:rPr>
            <w:noProof/>
          </w:rPr>
          <w:t>4</w:t>
        </w:r>
      </w:fldSimple>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C9FA6"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fldSimple w:instr=" STYLEREF 1 \s ">
        <w:r>
          <w:rPr>
            <w:noProof/>
          </w:rPr>
          <w:t>3</w:t>
        </w:r>
      </w:fldSimple>
      <w:r>
        <w:noBreakHyphen/>
      </w:r>
      <w:fldSimple w:instr=" SEQ Figure \* ARABIC \s 1 ">
        <w:r>
          <w:rPr>
            <w:noProof/>
          </w:rPr>
          <w:t>5</w:t>
        </w:r>
      </w:fldSimple>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261E0"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667989"/>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667990"/>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667991"/>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E67A33">
        <w:t>In the design document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667992"/>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667993"/>
      <w:r w:rsidRPr="006C54CB">
        <w:rPr>
          <w:rFonts w:asciiTheme="minorHAnsi" w:hAnsiTheme="minorHAnsi"/>
        </w:rPr>
        <w:t>Appendix</w:t>
      </w:r>
      <w:bookmarkEnd w:id="33"/>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BC527" w14:textId="77777777" w:rsidR="00D847BD" w:rsidRDefault="00D847BD">
      <w:r>
        <w:separator/>
      </w:r>
    </w:p>
  </w:endnote>
  <w:endnote w:type="continuationSeparator" w:id="0">
    <w:p w14:paraId="740FC730" w14:textId="77777777" w:rsidR="00D847BD" w:rsidRDefault="00D847BD">
      <w:r>
        <w:continuationSeparator/>
      </w:r>
    </w:p>
  </w:endnote>
  <w:endnote w:type="continuationNotice" w:id="1">
    <w:p w14:paraId="2C4F5C85" w14:textId="77777777" w:rsidR="00D847BD" w:rsidRDefault="00D84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D847B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B10433">
      <w:rPr>
        <w:noProof/>
      </w:rPr>
      <w:t>3/10/2015 1:26:15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BB1C1D">
      <w:rPr>
        <w:rStyle w:val="PageNumber"/>
        <w:rFonts w:ascii="Arial" w:hAnsi="Arial" w:cs="Arial"/>
        <w:b w:val="0"/>
        <w:i/>
        <w:noProof/>
        <w:sz w:val="16"/>
        <w:szCs w:val="16"/>
      </w:rPr>
      <w:t>13</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47732" w14:textId="77777777" w:rsidR="00D847BD" w:rsidRDefault="00D847BD">
      <w:r>
        <w:separator/>
      </w:r>
    </w:p>
  </w:footnote>
  <w:footnote w:type="continuationSeparator" w:id="0">
    <w:p w14:paraId="2F7F147D" w14:textId="77777777" w:rsidR="00D847BD" w:rsidRDefault="00D847BD">
      <w:r>
        <w:continuationSeparator/>
      </w:r>
    </w:p>
  </w:footnote>
  <w:footnote w:type="continuationNotice" w:id="1">
    <w:p w14:paraId="2C2FF555" w14:textId="77777777" w:rsidR="00D847BD" w:rsidRDefault="00D847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455A23AE"/>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29"/>
  </w:num>
  <w:num w:numId="6">
    <w:abstractNumId w:val="33"/>
  </w:num>
  <w:num w:numId="7">
    <w:abstractNumId w:val="31"/>
  </w:num>
  <w:num w:numId="8">
    <w:abstractNumId w:val="36"/>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8"/>
  </w:num>
  <w:num w:numId="34">
    <w:abstractNumId w:val="15"/>
  </w:num>
  <w:num w:numId="35">
    <w:abstractNumId w:val="32"/>
  </w:num>
  <w:num w:numId="36">
    <w:abstractNumId w:val="34"/>
  </w:num>
  <w:num w:numId="37">
    <w:abstractNumId w:val="37"/>
  </w:num>
  <w:num w:numId="38">
    <w:abstractNumId w:val="25"/>
  </w:num>
  <w:num w:numId="39">
    <w:abstractNumId w:val="14"/>
  </w:num>
  <w:num w:numId="40">
    <w:abstractNumId w:val="30"/>
  </w:num>
  <w:num w:numId="41">
    <w:abstractNumId w:val="0"/>
  </w:num>
  <w:num w:numId="42">
    <w:abstractNumId w:val="26"/>
  </w:num>
  <w:num w:numId="43">
    <w:abstractNumId w:val="35"/>
  </w:num>
  <w:num w:numId="44">
    <w:abstractNumId w:val="28"/>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C52"/>
    <w:rsid w:val="00B038C1"/>
    <w:rsid w:val="00B0510A"/>
    <w:rsid w:val="00B05CD9"/>
    <w:rsid w:val="00B10433"/>
    <w:rsid w:val="00B21EFB"/>
    <w:rsid w:val="00B22C53"/>
    <w:rsid w:val="00B32713"/>
    <w:rsid w:val="00B34DF3"/>
    <w:rsid w:val="00B401CC"/>
    <w:rsid w:val="00B419CE"/>
    <w:rsid w:val="00B4437F"/>
    <w:rsid w:val="00B45A59"/>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1C1D"/>
    <w:rsid w:val="00BB4CB3"/>
    <w:rsid w:val="00BB6231"/>
    <w:rsid w:val="00BB6641"/>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6C66"/>
    <w:rsid w:val="00C16E18"/>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47BD"/>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6868F400-E92C-4733-86BA-2179DCFA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247D33E3-4CE1-4C2B-8794-B295D812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57</cp:revision>
  <cp:lastPrinted>2012-12-07T17:42:00Z</cp:lastPrinted>
  <dcterms:created xsi:type="dcterms:W3CDTF">2014-09-25T21:47:00Z</dcterms:created>
  <dcterms:modified xsi:type="dcterms:W3CDTF">2015-03-10T21:22:00Z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