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D74848">
        <w:fldChar w:fldCharType="begin"/>
      </w:r>
      <w:r w:rsidR="00D74848">
        <w:instrText xml:space="preserve"> TITLE  \* MERGEFORMAT </w:instrText>
      </w:r>
      <w:r w:rsidR="00D74848">
        <w:fldChar w:fldCharType="separate"/>
      </w:r>
      <w:r w:rsidR="00A910C9" w:rsidRPr="005A5FF9">
        <w:rPr>
          <w:kern w:val="0"/>
        </w:rPr>
        <w:t>Design Specification</w:t>
      </w:r>
      <w:r w:rsidR="00D74848">
        <w:rPr>
          <w:kern w:val="0"/>
        </w:rPr>
        <w:fldChar w:fldCharType="end"/>
      </w:r>
    </w:p>
    <w:p w14:paraId="3CA0070D" w14:textId="5C388108" w:rsidR="00A910C9" w:rsidRDefault="00E50C89" w:rsidP="00204AD9">
      <w:pPr>
        <w:jc w:val="center"/>
        <w:rPr>
          <w:rFonts w:ascii="Arial" w:hAnsi="Arial" w:cs="Arial"/>
        </w:rPr>
      </w:pPr>
      <w:r>
        <w:rPr>
          <w:rFonts w:ascii="Arial" w:hAnsi="Arial"/>
          <w:b/>
          <w:kern w:val="28"/>
          <w:sz w:val="40"/>
        </w:rPr>
        <w:t>Capture Commercial Carts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6" w14:textId="77777777" w:rsidR="00A910C9" w:rsidRDefault="00A910C9" w:rsidP="00A910C9">
      <w:pPr>
        <w:jc w:val="both"/>
        <w:rPr>
          <w:rFonts w:ascii="Arial" w:hAnsi="Arial" w:cs="Arial"/>
        </w:rPr>
        <w:sectPr w:rsidR="00A910C9"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14:paraId="3CA0071E" w14:textId="77777777" w:rsidTr="00857CE8">
        <w:tc>
          <w:tcPr>
            <w:tcW w:w="1278" w:type="dxa"/>
          </w:tcPr>
          <w:p w14:paraId="3CA0071A" w14:textId="77777777" w:rsidR="00A910C9" w:rsidRDefault="00A910C9" w:rsidP="00857CE8">
            <w:pPr>
              <w:pStyle w:val="TableText"/>
              <w:jc w:val="both"/>
              <w:rPr>
                <w:b/>
                <w:u w:val="single"/>
              </w:rPr>
            </w:pPr>
            <w:r>
              <w:rPr>
                <w:b/>
              </w:rPr>
              <w:t>Date</w:t>
            </w:r>
          </w:p>
        </w:tc>
        <w:tc>
          <w:tcPr>
            <w:tcW w:w="1080" w:type="dxa"/>
          </w:tcPr>
          <w:p w14:paraId="3CA0071B" w14:textId="77777777" w:rsidR="00A910C9" w:rsidRDefault="00A910C9" w:rsidP="00857CE8">
            <w:pPr>
              <w:pStyle w:val="TableText"/>
              <w:jc w:val="both"/>
              <w:rPr>
                <w:b/>
                <w:u w:val="single"/>
              </w:rPr>
            </w:pPr>
            <w:r>
              <w:rPr>
                <w:b/>
              </w:rPr>
              <w:t>Revision</w:t>
            </w:r>
          </w:p>
        </w:tc>
        <w:tc>
          <w:tcPr>
            <w:tcW w:w="3814" w:type="dxa"/>
          </w:tcPr>
          <w:p w14:paraId="3CA0071C" w14:textId="77777777" w:rsidR="00A910C9" w:rsidRDefault="00A910C9" w:rsidP="00E552C0">
            <w:pPr>
              <w:pStyle w:val="TableText"/>
              <w:rPr>
                <w:b/>
                <w:u w:val="single"/>
              </w:rPr>
            </w:pPr>
            <w:r>
              <w:rPr>
                <w:b/>
              </w:rPr>
              <w:t>Description</w:t>
            </w:r>
          </w:p>
        </w:tc>
        <w:tc>
          <w:tcPr>
            <w:tcW w:w="257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857CE8">
        <w:tc>
          <w:tcPr>
            <w:tcW w:w="1278" w:type="dxa"/>
          </w:tcPr>
          <w:p w14:paraId="3CA0071F" w14:textId="3EC5AEE5" w:rsidR="00A910C9" w:rsidRDefault="00E50C89" w:rsidP="00E50C89">
            <w:pPr>
              <w:pStyle w:val="TableText"/>
              <w:widowControl/>
              <w:jc w:val="both"/>
            </w:pPr>
            <w:r>
              <w:t>09</w:t>
            </w:r>
            <w:r w:rsidR="00285085">
              <w:t>/</w:t>
            </w:r>
            <w:r>
              <w:t>16</w:t>
            </w:r>
            <w:r w:rsidR="00285085">
              <w:t>/2014</w:t>
            </w:r>
          </w:p>
        </w:tc>
        <w:tc>
          <w:tcPr>
            <w:tcW w:w="1080" w:type="dxa"/>
          </w:tcPr>
          <w:p w14:paraId="3CA00720" w14:textId="77777777" w:rsidR="00A910C9" w:rsidRDefault="00A910C9" w:rsidP="00857CE8">
            <w:pPr>
              <w:pStyle w:val="TableText"/>
              <w:widowControl/>
              <w:jc w:val="both"/>
            </w:pPr>
            <w:r>
              <w:t>1.0</w:t>
            </w:r>
          </w:p>
        </w:tc>
        <w:tc>
          <w:tcPr>
            <w:tcW w:w="3814"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2576" w:type="dxa"/>
          </w:tcPr>
          <w:p w14:paraId="3CA00722" w14:textId="0363286B" w:rsidR="00A910C9" w:rsidRDefault="00D209C5" w:rsidP="00857CE8">
            <w:pPr>
              <w:pStyle w:val="TableText"/>
              <w:widowControl/>
              <w:jc w:val="both"/>
            </w:pPr>
            <w:r>
              <w:t>Roger Behm</w:t>
            </w:r>
          </w:p>
        </w:tc>
      </w:tr>
      <w:tr w:rsidR="009801F1" w14:paraId="3CA00728" w14:textId="77777777" w:rsidTr="00857CE8">
        <w:tc>
          <w:tcPr>
            <w:tcW w:w="1278" w:type="dxa"/>
          </w:tcPr>
          <w:p w14:paraId="3CA00724" w14:textId="613E8A1B" w:rsidR="00256FB6" w:rsidRDefault="00EC63CB" w:rsidP="009801F1">
            <w:pPr>
              <w:pStyle w:val="TableText"/>
              <w:widowControl/>
              <w:jc w:val="both"/>
            </w:pPr>
            <w:r>
              <w:t>9/26/2014</w:t>
            </w:r>
          </w:p>
        </w:tc>
        <w:tc>
          <w:tcPr>
            <w:tcW w:w="1080" w:type="dxa"/>
          </w:tcPr>
          <w:p w14:paraId="3CA00725" w14:textId="5C7BD251" w:rsidR="009801F1" w:rsidRDefault="00EC63CB" w:rsidP="009801F1">
            <w:pPr>
              <w:pStyle w:val="TableText"/>
              <w:widowControl/>
              <w:jc w:val="both"/>
            </w:pPr>
            <w:r>
              <w:t>1.1</w:t>
            </w:r>
          </w:p>
        </w:tc>
        <w:tc>
          <w:tcPr>
            <w:tcW w:w="3814" w:type="dxa"/>
          </w:tcPr>
          <w:p w14:paraId="3CA00726" w14:textId="15406637" w:rsidR="009801F1" w:rsidRDefault="00EC63CB" w:rsidP="009801F1">
            <w:pPr>
              <w:pStyle w:val="TableText"/>
              <w:widowControl/>
            </w:pPr>
            <w:r>
              <w:t>Minor Updates</w:t>
            </w:r>
          </w:p>
        </w:tc>
        <w:tc>
          <w:tcPr>
            <w:tcW w:w="2576" w:type="dxa"/>
          </w:tcPr>
          <w:p w14:paraId="3CA00727" w14:textId="629DF7F6" w:rsidR="009801F1" w:rsidRDefault="00EC63CB" w:rsidP="009801F1">
            <w:pPr>
              <w:pStyle w:val="TableText"/>
              <w:widowControl/>
              <w:jc w:val="both"/>
            </w:pPr>
            <w:r>
              <w:t>Doug B and James S</w:t>
            </w:r>
          </w:p>
        </w:tc>
      </w:tr>
      <w:tr w:rsidR="009801F1" w14:paraId="3CA00741" w14:textId="77777777" w:rsidTr="00857CE8">
        <w:tc>
          <w:tcPr>
            <w:tcW w:w="1278" w:type="dxa"/>
          </w:tcPr>
          <w:p w14:paraId="3CA0073D" w14:textId="195E38E0" w:rsidR="009801F1" w:rsidRDefault="008E0EF0" w:rsidP="009801F1">
            <w:pPr>
              <w:pStyle w:val="TableText"/>
              <w:jc w:val="both"/>
            </w:pPr>
            <w:r>
              <w:t>9/29/2014</w:t>
            </w:r>
          </w:p>
        </w:tc>
        <w:tc>
          <w:tcPr>
            <w:tcW w:w="1080" w:type="dxa"/>
          </w:tcPr>
          <w:p w14:paraId="3CA0073E" w14:textId="4EB8A7CA" w:rsidR="009801F1" w:rsidRDefault="008E0EF0" w:rsidP="009801F1">
            <w:pPr>
              <w:pStyle w:val="TableText"/>
              <w:jc w:val="both"/>
            </w:pPr>
            <w:r>
              <w:t>1.2</w:t>
            </w:r>
          </w:p>
        </w:tc>
        <w:tc>
          <w:tcPr>
            <w:tcW w:w="3814" w:type="dxa"/>
          </w:tcPr>
          <w:p w14:paraId="3CA0073F" w14:textId="1D09D5FD" w:rsidR="009801F1" w:rsidRDefault="008E0EF0" w:rsidP="009801F1">
            <w:pPr>
              <w:pStyle w:val="TableText"/>
            </w:pPr>
            <w:r>
              <w:t>Additional Requirments</w:t>
            </w:r>
          </w:p>
        </w:tc>
        <w:tc>
          <w:tcPr>
            <w:tcW w:w="2576" w:type="dxa"/>
          </w:tcPr>
          <w:p w14:paraId="3CA00740" w14:textId="1D630A14" w:rsidR="009801F1" w:rsidRDefault="008E0EF0" w:rsidP="009801F1">
            <w:pPr>
              <w:pStyle w:val="TableText"/>
              <w:jc w:val="both"/>
            </w:pPr>
            <w:r>
              <w:t>Roger Behm</w:t>
            </w:r>
          </w:p>
        </w:tc>
      </w:tr>
      <w:tr w:rsidR="009801F1" w14:paraId="3CA00746" w14:textId="77777777" w:rsidTr="00857CE8">
        <w:tc>
          <w:tcPr>
            <w:tcW w:w="1278" w:type="dxa"/>
          </w:tcPr>
          <w:p w14:paraId="3CA00742" w14:textId="4EF09F03" w:rsidR="009801F1" w:rsidRDefault="009801F1" w:rsidP="009801F1">
            <w:pPr>
              <w:pStyle w:val="TableText"/>
              <w:jc w:val="both"/>
            </w:pPr>
          </w:p>
        </w:tc>
        <w:tc>
          <w:tcPr>
            <w:tcW w:w="1080" w:type="dxa"/>
          </w:tcPr>
          <w:p w14:paraId="3CA00743" w14:textId="6A516084" w:rsidR="009801F1" w:rsidRDefault="009801F1" w:rsidP="009801F1">
            <w:pPr>
              <w:pStyle w:val="TableText"/>
              <w:jc w:val="both"/>
            </w:pPr>
          </w:p>
        </w:tc>
        <w:tc>
          <w:tcPr>
            <w:tcW w:w="3814" w:type="dxa"/>
          </w:tcPr>
          <w:p w14:paraId="3CA00744" w14:textId="7C83E0BB" w:rsidR="009801F1" w:rsidRDefault="009801F1" w:rsidP="009801F1">
            <w:pPr>
              <w:pStyle w:val="TableText"/>
            </w:pPr>
          </w:p>
        </w:tc>
        <w:tc>
          <w:tcPr>
            <w:tcW w:w="2576" w:type="dxa"/>
          </w:tcPr>
          <w:p w14:paraId="3CA00745" w14:textId="01B449E7" w:rsidR="009801F1" w:rsidRDefault="009801F1" w:rsidP="009801F1">
            <w:pPr>
              <w:pStyle w:val="TableText"/>
              <w:jc w:val="both"/>
            </w:pPr>
          </w:p>
        </w:tc>
      </w:tr>
      <w:tr w:rsidR="009801F1" w14:paraId="3CA0074B" w14:textId="77777777" w:rsidTr="00857CE8">
        <w:tc>
          <w:tcPr>
            <w:tcW w:w="1278" w:type="dxa"/>
          </w:tcPr>
          <w:p w14:paraId="3CA00747" w14:textId="77777777" w:rsidR="009801F1" w:rsidRDefault="009801F1" w:rsidP="009801F1">
            <w:pPr>
              <w:pStyle w:val="TableText"/>
              <w:jc w:val="both"/>
            </w:pPr>
          </w:p>
        </w:tc>
        <w:tc>
          <w:tcPr>
            <w:tcW w:w="1080" w:type="dxa"/>
          </w:tcPr>
          <w:p w14:paraId="3CA00748" w14:textId="77777777" w:rsidR="009801F1" w:rsidRDefault="009801F1" w:rsidP="009801F1">
            <w:pPr>
              <w:pStyle w:val="TableText"/>
              <w:jc w:val="both"/>
            </w:pPr>
          </w:p>
        </w:tc>
        <w:tc>
          <w:tcPr>
            <w:tcW w:w="3814" w:type="dxa"/>
          </w:tcPr>
          <w:p w14:paraId="3CA00749" w14:textId="77777777" w:rsidR="009801F1" w:rsidRDefault="009801F1" w:rsidP="009801F1">
            <w:pPr>
              <w:pStyle w:val="TableText"/>
            </w:pPr>
          </w:p>
        </w:tc>
        <w:tc>
          <w:tcPr>
            <w:tcW w:w="257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5F" w14:textId="77777777" w:rsidR="00A910C9" w:rsidRDefault="00A910C9" w:rsidP="00A910C9">
      <w:pPr>
        <w:jc w:val="both"/>
        <w:rPr>
          <w:rFonts w:ascii="Arial" w:hAnsi="Arial" w:cs="Arial"/>
        </w:rPr>
      </w:pPr>
    </w:p>
    <w:p w14:paraId="3CA00760" w14:textId="77777777" w:rsidR="00A910C9" w:rsidRDefault="00A910C9" w:rsidP="00A910C9">
      <w:pPr>
        <w:jc w:val="both"/>
        <w:rPr>
          <w:rFonts w:ascii="Arial" w:hAnsi="Arial" w:cs="Arial"/>
        </w:rPr>
      </w:pPr>
    </w:p>
    <w:p w14:paraId="3CA00761" w14:textId="77777777" w:rsidR="00A910C9" w:rsidRDefault="00A910C9" w:rsidP="00A910C9">
      <w:pPr>
        <w:jc w:val="both"/>
        <w:rPr>
          <w:rFonts w:ascii="Arial" w:hAnsi="Arial" w:cs="Arial"/>
        </w:rPr>
      </w:pPr>
    </w:p>
    <w:p w14:paraId="3CA00762" w14:textId="77777777" w:rsidR="00A910C9" w:rsidRDefault="00A910C9" w:rsidP="00A910C9">
      <w:pPr>
        <w:jc w:val="both"/>
        <w:rPr>
          <w:rFonts w:ascii="Arial" w:hAnsi="Arial" w:cs="Arial"/>
        </w:rPr>
      </w:pPr>
    </w:p>
    <w:p w14:paraId="3CA00763" w14:textId="77777777" w:rsidR="00A910C9" w:rsidRDefault="00A910C9" w:rsidP="00A910C9">
      <w:pPr>
        <w:jc w:val="both"/>
        <w:rPr>
          <w:rFonts w:ascii="Arial" w:hAnsi="Arial" w:cs="Arial"/>
        </w:rPr>
      </w:pPr>
    </w:p>
    <w:p w14:paraId="3CA00764" w14:textId="77777777" w:rsidR="00A910C9" w:rsidRDefault="00A910C9" w:rsidP="00A910C9">
      <w:pPr>
        <w:jc w:val="both"/>
        <w:rPr>
          <w:rFonts w:ascii="Arial" w:hAnsi="Arial" w:cs="Arial"/>
        </w:rPr>
      </w:pPr>
    </w:p>
    <w:p w14:paraId="3CA00765" w14:textId="77777777" w:rsidR="00A910C9" w:rsidRDefault="00A910C9" w:rsidP="00A910C9">
      <w:pPr>
        <w:jc w:val="both"/>
        <w:rPr>
          <w:rFonts w:ascii="Arial" w:hAnsi="Arial" w:cs="Arial"/>
        </w:rPr>
      </w:pPr>
    </w:p>
    <w:p w14:paraId="25EAFEEC" w14:textId="77777777" w:rsidR="0078322C" w:rsidRDefault="0078322C" w:rsidP="00A910C9">
      <w:pPr>
        <w:jc w:val="both"/>
        <w:rPr>
          <w:rFonts w:ascii="Arial" w:hAnsi="Arial" w:cs="Arial"/>
        </w:rPr>
      </w:pPr>
    </w:p>
    <w:p w14:paraId="434269CB" w14:textId="77777777" w:rsidR="0078322C" w:rsidRDefault="0078322C" w:rsidP="00A910C9">
      <w:pPr>
        <w:jc w:val="both"/>
        <w:rPr>
          <w:rFonts w:ascii="Arial" w:hAnsi="Arial" w:cs="Arial"/>
        </w:rPr>
      </w:pPr>
    </w:p>
    <w:p w14:paraId="65E16437" w14:textId="77777777" w:rsidR="0078322C" w:rsidRDefault="0078322C" w:rsidP="00A910C9">
      <w:pPr>
        <w:jc w:val="both"/>
        <w:rPr>
          <w:rFonts w:ascii="Arial" w:hAnsi="Arial" w:cs="Arial"/>
        </w:rPr>
      </w:pPr>
    </w:p>
    <w:p w14:paraId="12CE7929" w14:textId="77777777" w:rsidR="0078322C" w:rsidRDefault="0078322C" w:rsidP="00A910C9">
      <w:pPr>
        <w:jc w:val="both"/>
        <w:rPr>
          <w:rFonts w:ascii="Arial" w:hAnsi="Arial" w:cs="Arial"/>
        </w:rPr>
      </w:pPr>
    </w:p>
    <w:p w14:paraId="160AD1F2" w14:textId="77777777" w:rsidR="0078322C" w:rsidRDefault="0078322C" w:rsidP="00A910C9">
      <w:pPr>
        <w:jc w:val="both"/>
        <w:rPr>
          <w:rFonts w:ascii="Arial" w:hAnsi="Arial" w:cs="Arial"/>
        </w:rPr>
      </w:pPr>
    </w:p>
    <w:p w14:paraId="3CA00766" w14:textId="77777777" w:rsidR="00A910C9" w:rsidRDefault="00A910C9" w:rsidP="00A910C9">
      <w:pPr>
        <w:jc w:val="both"/>
        <w:rPr>
          <w:rFonts w:ascii="Arial" w:hAnsi="Arial" w:cs="Arial"/>
        </w:rPr>
      </w:pPr>
    </w:p>
    <w:p w14:paraId="4C35281F" w14:textId="77777777" w:rsidR="00C45BA7" w:rsidRDefault="00C45BA7" w:rsidP="00A910C9">
      <w:pPr>
        <w:jc w:val="both"/>
        <w:rPr>
          <w:rFonts w:ascii="Arial" w:hAnsi="Arial" w:cs="Arial"/>
        </w:rPr>
      </w:pPr>
    </w:p>
    <w:p w14:paraId="2E5104DB" w14:textId="77777777" w:rsidR="00C45BA7" w:rsidRDefault="00C45BA7" w:rsidP="00A910C9">
      <w:pPr>
        <w:jc w:val="both"/>
        <w:rPr>
          <w:rFonts w:ascii="Arial" w:hAnsi="Arial" w:cs="Arial"/>
        </w:rPr>
      </w:pPr>
    </w:p>
    <w:p w14:paraId="753405FE" w14:textId="77777777" w:rsidR="00C45BA7" w:rsidRDefault="00C45BA7" w:rsidP="00A910C9">
      <w:pPr>
        <w:jc w:val="both"/>
        <w:rPr>
          <w:rFonts w:ascii="Arial" w:hAnsi="Arial" w:cs="Arial"/>
        </w:rPr>
      </w:pPr>
    </w:p>
    <w:p w14:paraId="67D6E991" w14:textId="77777777" w:rsidR="00C45BA7" w:rsidRDefault="00C45BA7" w:rsidP="00A910C9">
      <w:pPr>
        <w:jc w:val="both"/>
        <w:rPr>
          <w:rFonts w:ascii="Arial" w:hAnsi="Arial" w:cs="Arial"/>
        </w:rPr>
      </w:pPr>
    </w:p>
    <w:p w14:paraId="3CA0076A" w14:textId="77777777" w:rsidR="00A910C9" w:rsidRDefault="00A910C9" w:rsidP="00A910C9">
      <w:pPr>
        <w:pStyle w:val="TOC1"/>
        <w:jc w:val="both"/>
      </w:pPr>
      <w:r>
        <w:rPr>
          <w:sz w:val="28"/>
        </w:rPr>
        <w:lastRenderedPageBreak/>
        <w:t>Table of contents</w:t>
      </w:r>
    </w:p>
    <w:p w14:paraId="64521C83" w14:textId="77777777" w:rsidR="00210741"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10741">
        <w:rPr>
          <w:noProof/>
        </w:rPr>
        <w:t>1</w:t>
      </w:r>
      <w:r w:rsidR="00210741">
        <w:rPr>
          <w:rFonts w:asciiTheme="minorHAnsi" w:eastAsiaTheme="minorEastAsia" w:hAnsiTheme="minorHAnsi" w:cstheme="minorBidi"/>
          <w:b w:val="0"/>
          <w:caps w:val="0"/>
          <w:noProof/>
          <w:sz w:val="22"/>
          <w:szCs w:val="22"/>
        </w:rPr>
        <w:tab/>
      </w:r>
      <w:r w:rsidR="00210741">
        <w:rPr>
          <w:noProof/>
        </w:rPr>
        <w:t>Business Requirements</w:t>
      </w:r>
      <w:r w:rsidR="00210741">
        <w:rPr>
          <w:noProof/>
        </w:rPr>
        <w:tab/>
      </w:r>
      <w:r w:rsidR="00210741">
        <w:rPr>
          <w:noProof/>
        </w:rPr>
        <w:fldChar w:fldCharType="begin"/>
      </w:r>
      <w:r w:rsidR="00210741">
        <w:rPr>
          <w:noProof/>
        </w:rPr>
        <w:instrText xml:space="preserve"> PAGEREF _Toc390274887 \h </w:instrText>
      </w:r>
      <w:r w:rsidR="00210741">
        <w:rPr>
          <w:noProof/>
        </w:rPr>
      </w:r>
      <w:r w:rsidR="00210741">
        <w:rPr>
          <w:noProof/>
        </w:rPr>
        <w:fldChar w:fldCharType="separate"/>
      </w:r>
      <w:r w:rsidR="00210741">
        <w:rPr>
          <w:noProof/>
        </w:rPr>
        <w:t>6</w:t>
      </w:r>
      <w:r w:rsidR="00210741">
        <w:rPr>
          <w:noProof/>
        </w:rPr>
        <w:fldChar w:fldCharType="end"/>
      </w:r>
    </w:p>
    <w:p w14:paraId="3D1CC88C"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_Toc390274888 \h </w:instrText>
      </w:r>
      <w:r>
        <w:rPr>
          <w:noProof/>
        </w:rPr>
      </w:r>
      <w:r>
        <w:rPr>
          <w:noProof/>
        </w:rPr>
        <w:fldChar w:fldCharType="separate"/>
      </w:r>
      <w:r>
        <w:rPr>
          <w:noProof/>
        </w:rPr>
        <w:t>6</w:t>
      </w:r>
      <w:r>
        <w:rPr>
          <w:noProof/>
        </w:rPr>
        <w:fldChar w:fldCharType="end"/>
      </w:r>
    </w:p>
    <w:p w14:paraId="14467F7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w:t>
      </w:r>
      <w:r>
        <w:rPr>
          <w:noProof/>
        </w:rPr>
        <w:tab/>
      </w:r>
      <w:r>
        <w:rPr>
          <w:noProof/>
        </w:rPr>
        <w:fldChar w:fldCharType="begin"/>
      </w:r>
      <w:r>
        <w:rPr>
          <w:noProof/>
        </w:rPr>
        <w:instrText xml:space="preserve"> PAGEREF _Toc390274889 \h </w:instrText>
      </w:r>
      <w:r>
        <w:rPr>
          <w:noProof/>
        </w:rPr>
      </w:r>
      <w:r>
        <w:rPr>
          <w:noProof/>
        </w:rPr>
        <w:fldChar w:fldCharType="separate"/>
      </w:r>
      <w:r>
        <w:rPr>
          <w:noProof/>
        </w:rPr>
        <w:t>6</w:t>
      </w:r>
      <w:r>
        <w:rPr>
          <w:noProof/>
        </w:rPr>
        <w:fldChar w:fldCharType="end"/>
      </w:r>
    </w:p>
    <w:p w14:paraId="6F950BE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BFR Change Log</w:t>
      </w:r>
      <w:r>
        <w:rPr>
          <w:noProof/>
        </w:rPr>
        <w:tab/>
      </w:r>
      <w:r>
        <w:rPr>
          <w:noProof/>
        </w:rPr>
        <w:fldChar w:fldCharType="begin"/>
      </w:r>
      <w:r>
        <w:rPr>
          <w:noProof/>
        </w:rPr>
        <w:instrText xml:space="preserve"> PAGEREF _Toc390274890 \h </w:instrText>
      </w:r>
      <w:r>
        <w:rPr>
          <w:noProof/>
        </w:rPr>
      </w:r>
      <w:r>
        <w:rPr>
          <w:noProof/>
        </w:rPr>
        <w:fldChar w:fldCharType="separate"/>
      </w:r>
      <w:r>
        <w:rPr>
          <w:noProof/>
        </w:rPr>
        <w:t>6</w:t>
      </w:r>
      <w:r>
        <w:rPr>
          <w:noProof/>
        </w:rPr>
        <w:fldChar w:fldCharType="end"/>
      </w:r>
    </w:p>
    <w:p w14:paraId="43F6EA5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_Toc390274891 \h </w:instrText>
      </w:r>
      <w:r>
        <w:rPr>
          <w:noProof/>
        </w:rPr>
      </w:r>
      <w:r>
        <w:rPr>
          <w:noProof/>
        </w:rPr>
        <w:fldChar w:fldCharType="separate"/>
      </w:r>
      <w:r>
        <w:rPr>
          <w:noProof/>
        </w:rPr>
        <w:t>6</w:t>
      </w:r>
      <w:r>
        <w:rPr>
          <w:noProof/>
        </w:rPr>
        <w:fldChar w:fldCharType="end"/>
      </w:r>
    </w:p>
    <w:p w14:paraId="728A1A9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TDR Change Log</w:t>
      </w:r>
      <w:r>
        <w:rPr>
          <w:noProof/>
        </w:rPr>
        <w:tab/>
      </w:r>
      <w:r>
        <w:rPr>
          <w:noProof/>
        </w:rPr>
        <w:fldChar w:fldCharType="begin"/>
      </w:r>
      <w:r>
        <w:rPr>
          <w:noProof/>
        </w:rPr>
        <w:instrText xml:space="preserve"> PAGEREF _Toc390274892 \h </w:instrText>
      </w:r>
      <w:r>
        <w:rPr>
          <w:noProof/>
        </w:rPr>
      </w:r>
      <w:r>
        <w:rPr>
          <w:noProof/>
        </w:rPr>
        <w:fldChar w:fldCharType="separate"/>
      </w:r>
      <w:r>
        <w:rPr>
          <w:noProof/>
        </w:rPr>
        <w:t>6</w:t>
      </w:r>
      <w:r>
        <w:rPr>
          <w:noProof/>
        </w:rPr>
        <w:fldChar w:fldCharType="end"/>
      </w:r>
    </w:p>
    <w:p w14:paraId="372B427D"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_Toc390274893 \h </w:instrText>
      </w:r>
      <w:r>
        <w:rPr>
          <w:noProof/>
        </w:rPr>
      </w:r>
      <w:r>
        <w:rPr>
          <w:noProof/>
        </w:rPr>
        <w:fldChar w:fldCharType="separate"/>
      </w:r>
      <w:r>
        <w:rPr>
          <w:noProof/>
        </w:rPr>
        <w:t>7</w:t>
      </w:r>
      <w:r>
        <w:rPr>
          <w:noProof/>
        </w:rPr>
        <w:fldChar w:fldCharType="end"/>
      </w:r>
    </w:p>
    <w:p w14:paraId="11A28643"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_Toc390274894 \h </w:instrText>
      </w:r>
      <w:r>
        <w:rPr>
          <w:noProof/>
        </w:rPr>
      </w:r>
      <w:r>
        <w:rPr>
          <w:noProof/>
        </w:rPr>
        <w:fldChar w:fldCharType="separate"/>
      </w:r>
      <w:r>
        <w:rPr>
          <w:noProof/>
        </w:rPr>
        <w:t>7</w:t>
      </w:r>
      <w:r>
        <w:rPr>
          <w:noProof/>
        </w:rPr>
        <w:fldChar w:fldCharType="end"/>
      </w:r>
    </w:p>
    <w:p w14:paraId="23056B71"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_Toc390274895 \h </w:instrText>
      </w:r>
      <w:r>
        <w:rPr>
          <w:noProof/>
        </w:rPr>
      </w:r>
      <w:r>
        <w:rPr>
          <w:noProof/>
        </w:rPr>
        <w:fldChar w:fldCharType="separate"/>
      </w:r>
      <w:r>
        <w:rPr>
          <w:noProof/>
        </w:rPr>
        <w:t>7</w:t>
      </w:r>
      <w:r>
        <w:rPr>
          <w:noProof/>
        </w:rPr>
        <w:fldChar w:fldCharType="end"/>
      </w:r>
    </w:p>
    <w:p w14:paraId="21F7A33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Usability Standards</w:t>
      </w:r>
      <w:r>
        <w:rPr>
          <w:noProof/>
        </w:rPr>
        <w:tab/>
      </w:r>
      <w:r>
        <w:rPr>
          <w:noProof/>
        </w:rPr>
        <w:fldChar w:fldCharType="begin"/>
      </w:r>
      <w:r>
        <w:rPr>
          <w:noProof/>
        </w:rPr>
        <w:instrText xml:space="preserve"> PAGEREF _Toc390274896 \h </w:instrText>
      </w:r>
      <w:r>
        <w:rPr>
          <w:noProof/>
        </w:rPr>
      </w:r>
      <w:r>
        <w:rPr>
          <w:noProof/>
        </w:rPr>
        <w:fldChar w:fldCharType="separate"/>
      </w:r>
      <w:r>
        <w:rPr>
          <w:noProof/>
        </w:rPr>
        <w:t>7</w:t>
      </w:r>
      <w:r>
        <w:rPr>
          <w:noProof/>
        </w:rPr>
        <w:fldChar w:fldCharType="end"/>
      </w:r>
    </w:p>
    <w:p w14:paraId="343E6F85"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Design Standards</w:t>
      </w:r>
      <w:r>
        <w:rPr>
          <w:noProof/>
        </w:rPr>
        <w:tab/>
      </w:r>
      <w:r>
        <w:rPr>
          <w:noProof/>
        </w:rPr>
        <w:fldChar w:fldCharType="begin"/>
      </w:r>
      <w:r>
        <w:rPr>
          <w:noProof/>
        </w:rPr>
        <w:instrText xml:space="preserve"> PAGEREF _Toc390274897 \h </w:instrText>
      </w:r>
      <w:r>
        <w:rPr>
          <w:noProof/>
        </w:rPr>
      </w:r>
      <w:r>
        <w:rPr>
          <w:noProof/>
        </w:rPr>
        <w:fldChar w:fldCharType="separate"/>
      </w:r>
      <w:r>
        <w:rPr>
          <w:noProof/>
        </w:rPr>
        <w:t>7</w:t>
      </w:r>
      <w:r>
        <w:rPr>
          <w:noProof/>
        </w:rPr>
        <w:fldChar w:fldCharType="end"/>
      </w:r>
    </w:p>
    <w:p w14:paraId="5A490DA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Logical Model</w:t>
      </w:r>
      <w:r>
        <w:rPr>
          <w:noProof/>
        </w:rPr>
        <w:tab/>
      </w:r>
      <w:r>
        <w:rPr>
          <w:noProof/>
        </w:rPr>
        <w:fldChar w:fldCharType="begin"/>
      </w:r>
      <w:r>
        <w:rPr>
          <w:noProof/>
        </w:rPr>
        <w:instrText xml:space="preserve"> PAGEREF _Toc390274898 \h </w:instrText>
      </w:r>
      <w:r>
        <w:rPr>
          <w:noProof/>
        </w:rPr>
      </w:r>
      <w:r>
        <w:rPr>
          <w:noProof/>
        </w:rPr>
        <w:fldChar w:fldCharType="separate"/>
      </w:r>
      <w:r>
        <w:rPr>
          <w:noProof/>
        </w:rPr>
        <w:t>7</w:t>
      </w:r>
      <w:r>
        <w:rPr>
          <w:noProof/>
        </w:rPr>
        <w:fldChar w:fldCharType="end"/>
      </w:r>
    </w:p>
    <w:p w14:paraId="3F9E367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_Toc390274899 \h </w:instrText>
      </w:r>
      <w:r>
        <w:rPr>
          <w:noProof/>
        </w:rPr>
      </w:r>
      <w:r>
        <w:rPr>
          <w:noProof/>
        </w:rPr>
        <w:fldChar w:fldCharType="separate"/>
      </w:r>
      <w:r>
        <w:rPr>
          <w:noProof/>
        </w:rPr>
        <w:t>7</w:t>
      </w:r>
      <w:r>
        <w:rPr>
          <w:noProof/>
        </w:rPr>
        <w:fldChar w:fldCharType="end"/>
      </w:r>
    </w:p>
    <w:p w14:paraId="339CF2F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Record Counts</w:t>
      </w:r>
      <w:r>
        <w:rPr>
          <w:noProof/>
        </w:rPr>
        <w:tab/>
      </w:r>
      <w:r>
        <w:rPr>
          <w:noProof/>
        </w:rPr>
        <w:fldChar w:fldCharType="begin"/>
      </w:r>
      <w:r>
        <w:rPr>
          <w:noProof/>
        </w:rPr>
        <w:instrText xml:space="preserve"> PAGEREF _Toc390274900 \h </w:instrText>
      </w:r>
      <w:r>
        <w:rPr>
          <w:noProof/>
        </w:rPr>
      </w:r>
      <w:r>
        <w:rPr>
          <w:noProof/>
        </w:rPr>
        <w:fldChar w:fldCharType="separate"/>
      </w:r>
      <w:r>
        <w:rPr>
          <w:noProof/>
        </w:rPr>
        <w:t>11</w:t>
      </w:r>
      <w:r>
        <w:rPr>
          <w:noProof/>
        </w:rPr>
        <w:fldChar w:fldCharType="end"/>
      </w:r>
    </w:p>
    <w:p w14:paraId="27219EE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Index on the Tables</w:t>
      </w:r>
      <w:r>
        <w:rPr>
          <w:noProof/>
        </w:rPr>
        <w:tab/>
      </w:r>
      <w:r>
        <w:rPr>
          <w:noProof/>
        </w:rPr>
        <w:fldChar w:fldCharType="begin"/>
      </w:r>
      <w:r>
        <w:rPr>
          <w:noProof/>
        </w:rPr>
        <w:instrText xml:space="preserve"> PAGEREF _Toc390274901 \h </w:instrText>
      </w:r>
      <w:r>
        <w:rPr>
          <w:noProof/>
        </w:rPr>
      </w:r>
      <w:r>
        <w:rPr>
          <w:noProof/>
        </w:rPr>
        <w:fldChar w:fldCharType="separate"/>
      </w:r>
      <w:r>
        <w:rPr>
          <w:noProof/>
        </w:rPr>
        <w:t>11</w:t>
      </w:r>
      <w:r>
        <w:rPr>
          <w:noProof/>
        </w:rPr>
        <w:fldChar w:fldCharType="end"/>
      </w:r>
    </w:p>
    <w:p w14:paraId="4FD923EF"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Batch Job Schedule and Dependency</w:t>
      </w:r>
      <w:r>
        <w:rPr>
          <w:noProof/>
        </w:rPr>
        <w:tab/>
      </w:r>
      <w:r>
        <w:rPr>
          <w:noProof/>
        </w:rPr>
        <w:fldChar w:fldCharType="begin"/>
      </w:r>
      <w:r>
        <w:rPr>
          <w:noProof/>
        </w:rPr>
        <w:instrText xml:space="preserve"> PAGEREF _Toc390274902 \h </w:instrText>
      </w:r>
      <w:r>
        <w:rPr>
          <w:noProof/>
        </w:rPr>
      </w:r>
      <w:r>
        <w:rPr>
          <w:noProof/>
        </w:rPr>
        <w:fldChar w:fldCharType="separate"/>
      </w:r>
      <w:r>
        <w:rPr>
          <w:noProof/>
        </w:rPr>
        <w:t>11</w:t>
      </w:r>
      <w:r>
        <w:rPr>
          <w:noProof/>
        </w:rPr>
        <w:fldChar w:fldCharType="end"/>
      </w:r>
    </w:p>
    <w:p w14:paraId="58446DE0"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3.7</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_Toc390274903 \h </w:instrText>
      </w:r>
      <w:r>
        <w:rPr>
          <w:noProof/>
        </w:rPr>
      </w:r>
      <w:r>
        <w:rPr>
          <w:noProof/>
        </w:rPr>
        <w:fldChar w:fldCharType="separate"/>
      </w:r>
      <w:r>
        <w:rPr>
          <w:noProof/>
        </w:rPr>
        <w:t>11</w:t>
      </w:r>
      <w:r>
        <w:rPr>
          <w:noProof/>
        </w:rPr>
        <w:fldChar w:fldCharType="end"/>
      </w:r>
    </w:p>
    <w:p w14:paraId="54381359"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Physical Data Model</w:t>
      </w:r>
      <w:r>
        <w:rPr>
          <w:noProof/>
        </w:rPr>
        <w:tab/>
      </w:r>
      <w:r>
        <w:rPr>
          <w:noProof/>
        </w:rPr>
        <w:fldChar w:fldCharType="begin"/>
      </w:r>
      <w:r>
        <w:rPr>
          <w:noProof/>
        </w:rPr>
        <w:instrText xml:space="preserve"> PAGEREF _Toc390274904 \h </w:instrText>
      </w:r>
      <w:r>
        <w:rPr>
          <w:noProof/>
        </w:rPr>
      </w:r>
      <w:r>
        <w:rPr>
          <w:noProof/>
        </w:rPr>
        <w:fldChar w:fldCharType="separate"/>
      </w:r>
      <w:r>
        <w:rPr>
          <w:noProof/>
        </w:rPr>
        <w:t>11</w:t>
      </w:r>
      <w:r>
        <w:rPr>
          <w:noProof/>
        </w:rPr>
        <w:fldChar w:fldCharType="end"/>
      </w:r>
    </w:p>
    <w:p w14:paraId="064B2988"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Framework Model</w:t>
      </w:r>
      <w:r>
        <w:rPr>
          <w:noProof/>
        </w:rPr>
        <w:tab/>
      </w:r>
      <w:r>
        <w:rPr>
          <w:noProof/>
        </w:rPr>
        <w:fldChar w:fldCharType="begin"/>
      </w:r>
      <w:r>
        <w:rPr>
          <w:noProof/>
        </w:rPr>
        <w:instrText xml:space="preserve"> PAGEREF _Toc390274905 \h </w:instrText>
      </w:r>
      <w:r>
        <w:rPr>
          <w:noProof/>
        </w:rPr>
      </w:r>
      <w:r>
        <w:rPr>
          <w:noProof/>
        </w:rPr>
        <w:fldChar w:fldCharType="separate"/>
      </w:r>
      <w:r>
        <w:rPr>
          <w:noProof/>
        </w:rPr>
        <w:t>11</w:t>
      </w:r>
      <w:r>
        <w:rPr>
          <w:noProof/>
        </w:rPr>
        <w:fldChar w:fldCharType="end"/>
      </w:r>
    </w:p>
    <w:p w14:paraId="0C8504F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3.10</w:t>
      </w:r>
      <w:r>
        <w:rPr>
          <w:rFonts w:asciiTheme="minorHAnsi" w:eastAsiaTheme="minorEastAsia" w:hAnsiTheme="minorHAnsi" w:cstheme="minorBidi"/>
          <w:smallCaps w:val="0"/>
          <w:noProof/>
          <w:sz w:val="22"/>
          <w:szCs w:val="22"/>
        </w:rPr>
        <w:tab/>
      </w:r>
      <w:r>
        <w:rPr>
          <w:noProof/>
        </w:rPr>
        <w:t>Validation/Error Handling</w:t>
      </w:r>
      <w:r>
        <w:rPr>
          <w:noProof/>
        </w:rPr>
        <w:tab/>
      </w:r>
      <w:r>
        <w:rPr>
          <w:noProof/>
        </w:rPr>
        <w:fldChar w:fldCharType="begin"/>
      </w:r>
      <w:r>
        <w:rPr>
          <w:noProof/>
        </w:rPr>
        <w:instrText xml:space="preserve"> PAGEREF _Toc390274906 \h </w:instrText>
      </w:r>
      <w:r>
        <w:rPr>
          <w:noProof/>
        </w:rPr>
      </w:r>
      <w:r>
        <w:rPr>
          <w:noProof/>
        </w:rPr>
        <w:fldChar w:fldCharType="separate"/>
      </w:r>
      <w:r>
        <w:rPr>
          <w:noProof/>
        </w:rPr>
        <w:t>11</w:t>
      </w:r>
      <w:r>
        <w:rPr>
          <w:noProof/>
        </w:rPr>
        <w:fldChar w:fldCharType="end"/>
      </w:r>
    </w:p>
    <w:p w14:paraId="661C91A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Interfaces</w:t>
      </w:r>
      <w:r>
        <w:rPr>
          <w:noProof/>
        </w:rPr>
        <w:tab/>
      </w:r>
      <w:r>
        <w:rPr>
          <w:noProof/>
        </w:rPr>
        <w:fldChar w:fldCharType="begin"/>
      </w:r>
      <w:r>
        <w:rPr>
          <w:noProof/>
        </w:rPr>
        <w:instrText xml:space="preserve"> PAGEREF _Toc390274907 \h </w:instrText>
      </w:r>
      <w:r>
        <w:rPr>
          <w:noProof/>
        </w:rPr>
      </w:r>
      <w:r>
        <w:rPr>
          <w:noProof/>
        </w:rPr>
        <w:fldChar w:fldCharType="separate"/>
      </w:r>
      <w:r>
        <w:rPr>
          <w:noProof/>
        </w:rPr>
        <w:t>11</w:t>
      </w:r>
      <w:r>
        <w:rPr>
          <w:noProof/>
        </w:rPr>
        <w:fldChar w:fldCharType="end"/>
      </w:r>
    </w:p>
    <w:p w14:paraId="710BD122"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_Toc390274908 \h </w:instrText>
      </w:r>
      <w:r>
        <w:rPr>
          <w:noProof/>
        </w:rPr>
      </w:r>
      <w:r>
        <w:rPr>
          <w:noProof/>
        </w:rPr>
        <w:fldChar w:fldCharType="separate"/>
      </w:r>
      <w:r>
        <w:rPr>
          <w:noProof/>
        </w:rPr>
        <w:t>11</w:t>
      </w:r>
      <w:r>
        <w:rPr>
          <w:noProof/>
        </w:rPr>
        <w:fldChar w:fldCharType="end"/>
      </w:r>
    </w:p>
    <w:p w14:paraId="6D630B05"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_Toc390274909 \h </w:instrText>
      </w:r>
      <w:r>
        <w:rPr>
          <w:noProof/>
        </w:rPr>
      </w:r>
      <w:r>
        <w:rPr>
          <w:noProof/>
        </w:rPr>
        <w:fldChar w:fldCharType="separate"/>
      </w:r>
      <w:r>
        <w:rPr>
          <w:noProof/>
        </w:rPr>
        <w:t>11</w:t>
      </w:r>
      <w:r>
        <w:rPr>
          <w:noProof/>
        </w:rPr>
        <w:fldChar w:fldCharType="end"/>
      </w:r>
    </w:p>
    <w:p w14:paraId="0BAAC0D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_Toc390274910 \h </w:instrText>
      </w:r>
      <w:r>
        <w:rPr>
          <w:noProof/>
        </w:rPr>
      </w:r>
      <w:r>
        <w:rPr>
          <w:noProof/>
        </w:rPr>
        <w:fldChar w:fldCharType="separate"/>
      </w:r>
      <w:r>
        <w:rPr>
          <w:noProof/>
        </w:rPr>
        <w:t>11</w:t>
      </w:r>
      <w:r>
        <w:rPr>
          <w:noProof/>
        </w:rPr>
        <w:fldChar w:fldCharType="end"/>
      </w:r>
    </w:p>
    <w:p w14:paraId="30B3F17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_Toc390274911 \h </w:instrText>
      </w:r>
      <w:r>
        <w:rPr>
          <w:noProof/>
        </w:rPr>
      </w:r>
      <w:r>
        <w:rPr>
          <w:noProof/>
        </w:rPr>
        <w:fldChar w:fldCharType="separate"/>
      </w:r>
      <w:r>
        <w:rPr>
          <w:noProof/>
        </w:rPr>
        <w:t>12</w:t>
      </w:r>
      <w:r>
        <w:rPr>
          <w:noProof/>
        </w:rPr>
        <w:fldChar w:fldCharType="end"/>
      </w:r>
    </w:p>
    <w:p w14:paraId="0243060D"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_Toc390274912 \h </w:instrText>
      </w:r>
      <w:r>
        <w:rPr>
          <w:noProof/>
        </w:rPr>
      </w:r>
      <w:r>
        <w:rPr>
          <w:noProof/>
        </w:rPr>
        <w:fldChar w:fldCharType="separate"/>
      </w:r>
      <w:r>
        <w:rPr>
          <w:noProof/>
        </w:rPr>
        <w:t>12</w:t>
      </w:r>
      <w:r>
        <w:rPr>
          <w:noProof/>
        </w:rPr>
        <w:fldChar w:fldCharType="end"/>
      </w:r>
    </w:p>
    <w:p w14:paraId="604BCD74"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_Toc390274913 \h </w:instrText>
      </w:r>
      <w:r>
        <w:rPr>
          <w:noProof/>
        </w:rPr>
      </w:r>
      <w:r>
        <w:rPr>
          <w:noProof/>
        </w:rPr>
        <w:fldChar w:fldCharType="separate"/>
      </w:r>
      <w:r>
        <w:rPr>
          <w:noProof/>
        </w:rPr>
        <w:t>12</w:t>
      </w:r>
      <w:r>
        <w:rPr>
          <w:noProof/>
        </w:rPr>
        <w:fldChar w:fldCharType="end"/>
      </w:r>
    </w:p>
    <w:p w14:paraId="5715C5D7"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_Toc390274914 \h </w:instrText>
      </w:r>
      <w:r>
        <w:rPr>
          <w:noProof/>
        </w:rPr>
      </w:r>
      <w:r>
        <w:rPr>
          <w:noProof/>
        </w:rPr>
        <w:fldChar w:fldCharType="separate"/>
      </w:r>
      <w:r>
        <w:rPr>
          <w:noProof/>
        </w:rPr>
        <w:t>12</w:t>
      </w:r>
      <w:r>
        <w:rPr>
          <w:noProof/>
        </w:rPr>
        <w:fldChar w:fldCharType="end"/>
      </w:r>
    </w:p>
    <w:p w14:paraId="7953ACC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_Toc390274915 \h </w:instrText>
      </w:r>
      <w:r>
        <w:rPr>
          <w:noProof/>
        </w:rPr>
      </w:r>
      <w:r>
        <w:rPr>
          <w:noProof/>
        </w:rPr>
        <w:fldChar w:fldCharType="separate"/>
      </w:r>
      <w:r>
        <w:rPr>
          <w:noProof/>
        </w:rPr>
        <w:t>12</w:t>
      </w:r>
      <w:r>
        <w:rPr>
          <w:noProof/>
        </w:rPr>
        <w:fldChar w:fldCharType="end"/>
      </w:r>
    </w:p>
    <w:p w14:paraId="1A177EA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6.2</w:t>
      </w:r>
      <w:r>
        <w:rPr>
          <w:rFonts w:asciiTheme="minorHAnsi" w:eastAsiaTheme="minorEastAsia" w:hAnsiTheme="minorHAnsi" w:cstheme="minorBidi"/>
          <w:smallCaps w:val="0"/>
          <w:noProof/>
          <w:sz w:val="22"/>
          <w:szCs w:val="22"/>
        </w:rPr>
        <w:tab/>
      </w:r>
      <w:r w:rsidRPr="00E422BC">
        <w:rPr>
          <w:bCs/>
          <w:iCs/>
          <w:noProof/>
        </w:rPr>
        <w:t>Policies and Procedures</w:t>
      </w:r>
      <w:r>
        <w:rPr>
          <w:noProof/>
        </w:rPr>
        <w:tab/>
      </w:r>
      <w:r>
        <w:rPr>
          <w:noProof/>
        </w:rPr>
        <w:fldChar w:fldCharType="begin"/>
      </w:r>
      <w:r>
        <w:rPr>
          <w:noProof/>
        </w:rPr>
        <w:instrText xml:space="preserve"> PAGEREF _Toc390274916 \h </w:instrText>
      </w:r>
      <w:r>
        <w:rPr>
          <w:noProof/>
        </w:rPr>
      </w:r>
      <w:r>
        <w:rPr>
          <w:noProof/>
        </w:rPr>
        <w:fldChar w:fldCharType="separate"/>
      </w:r>
      <w:r>
        <w:rPr>
          <w:noProof/>
        </w:rPr>
        <w:t>12</w:t>
      </w:r>
      <w:r>
        <w:rPr>
          <w:noProof/>
        </w:rPr>
        <w:fldChar w:fldCharType="end"/>
      </w:r>
    </w:p>
    <w:p w14:paraId="126256A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6.3</w:t>
      </w:r>
      <w:r>
        <w:rPr>
          <w:rFonts w:asciiTheme="minorHAnsi" w:eastAsiaTheme="minorEastAsia" w:hAnsiTheme="minorHAnsi" w:cstheme="minorBidi"/>
          <w:smallCaps w:val="0"/>
          <w:noProof/>
          <w:sz w:val="22"/>
          <w:szCs w:val="22"/>
        </w:rPr>
        <w:tab/>
      </w:r>
      <w:r w:rsidRPr="00E422BC">
        <w:rPr>
          <w:bCs/>
          <w:iCs/>
          <w:noProof/>
        </w:rPr>
        <w:t>Security Design</w:t>
      </w:r>
      <w:r>
        <w:rPr>
          <w:noProof/>
        </w:rPr>
        <w:tab/>
      </w:r>
      <w:r>
        <w:rPr>
          <w:noProof/>
        </w:rPr>
        <w:fldChar w:fldCharType="begin"/>
      </w:r>
      <w:r>
        <w:rPr>
          <w:noProof/>
        </w:rPr>
        <w:instrText xml:space="preserve"> PAGEREF _Toc390274917 \h </w:instrText>
      </w:r>
      <w:r>
        <w:rPr>
          <w:noProof/>
        </w:rPr>
      </w:r>
      <w:r>
        <w:rPr>
          <w:noProof/>
        </w:rPr>
        <w:fldChar w:fldCharType="separate"/>
      </w:r>
      <w:r>
        <w:rPr>
          <w:noProof/>
        </w:rPr>
        <w:t>12</w:t>
      </w:r>
      <w:r>
        <w:rPr>
          <w:noProof/>
        </w:rPr>
        <w:fldChar w:fldCharType="end"/>
      </w:r>
    </w:p>
    <w:p w14:paraId="61A264C2"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_Toc390274918 \h </w:instrText>
      </w:r>
      <w:r>
        <w:rPr>
          <w:noProof/>
        </w:rPr>
      </w:r>
      <w:r>
        <w:rPr>
          <w:noProof/>
        </w:rPr>
        <w:fldChar w:fldCharType="separate"/>
      </w:r>
      <w:r>
        <w:rPr>
          <w:noProof/>
        </w:rPr>
        <w:t>12</w:t>
      </w:r>
      <w:r>
        <w:rPr>
          <w:noProof/>
        </w:rPr>
        <w:fldChar w:fldCharType="end"/>
      </w:r>
    </w:p>
    <w:p w14:paraId="2E005380"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_Toc390274919 \h </w:instrText>
      </w:r>
      <w:r>
        <w:rPr>
          <w:noProof/>
        </w:rPr>
      </w:r>
      <w:r>
        <w:rPr>
          <w:noProof/>
        </w:rPr>
        <w:fldChar w:fldCharType="separate"/>
      </w:r>
      <w:r>
        <w:rPr>
          <w:noProof/>
        </w:rPr>
        <w:t>12</w:t>
      </w:r>
      <w:r>
        <w:rPr>
          <w:noProof/>
        </w:rPr>
        <w:fldChar w:fldCharType="end"/>
      </w:r>
    </w:p>
    <w:p w14:paraId="5D9013FD"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_Toc390274920 \h </w:instrText>
      </w:r>
      <w:r>
        <w:rPr>
          <w:noProof/>
        </w:rPr>
      </w:r>
      <w:r>
        <w:rPr>
          <w:noProof/>
        </w:rPr>
        <w:fldChar w:fldCharType="separate"/>
      </w:r>
      <w:r>
        <w:rPr>
          <w:noProof/>
        </w:rPr>
        <w:t>12</w:t>
      </w:r>
      <w:r>
        <w:rPr>
          <w:noProof/>
        </w:rPr>
        <w:fldChar w:fldCharType="end"/>
      </w:r>
    </w:p>
    <w:p w14:paraId="7B5BBD7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_Toc390274921 \h </w:instrText>
      </w:r>
      <w:r>
        <w:rPr>
          <w:noProof/>
        </w:rPr>
      </w:r>
      <w:r>
        <w:rPr>
          <w:noProof/>
        </w:rPr>
        <w:fldChar w:fldCharType="separate"/>
      </w:r>
      <w:r>
        <w:rPr>
          <w:noProof/>
        </w:rPr>
        <w:t>12</w:t>
      </w:r>
      <w:r>
        <w:rPr>
          <w:noProof/>
        </w:rPr>
        <w:fldChar w:fldCharType="end"/>
      </w:r>
    </w:p>
    <w:p w14:paraId="0980F918"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_Toc390274922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390274887"/>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390274888"/>
      <w:r>
        <w:t xml:space="preserve">Purpose of the </w:t>
      </w:r>
      <w:bookmarkEnd w:id="7"/>
      <w:bookmarkEnd w:id="8"/>
      <w:bookmarkEnd w:id="9"/>
      <w:r>
        <w:t>Design Specification</w:t>
      </w:r>
      <w:bookmarkEnd w:id="10"/>
    </w:p>
    <w:p w14:paraId="0ECC9422" w14:textId="46B11B03" w:rsidR="00256FB6" w:rsidRDefault="00256FB6" w:rsidP="00256FB6">
      <w:pPr>
        <w:jc w:val="both"/>
      </w:pPr>
      <w:r>
        <w:t xml:space="preserve">The Requirements/design document will describe </w:t>
      </w:r>
      <w:r w:rsidR="00844462">
        <w:t xml:space="preserve">the </w:t>
      </w:r>
      <w:r w:rsidR="00E4000F">
        <w:t>support for commercial carts for new and existing customers within the Capture system</w:t>
      </w:r>
      <w:r w:rsidR="00844462">
        <w:t xml:space="preserve">.  </w:t>
      </w:r>
      <w:r w:rsidR="00E4000F">
        <w:t xml:space="preserve">This functionality will include Side Load as a route type option.  </w:t>
      </w:r>
      <w:r w:rsidR="00844462">
        <w:t xml:space="preserve">Currently </w:t>
      </w:r>
      <w:r w:rsidR="00E4000F">
        <w:t xml:space="preserve">Capture does not support </w:t>
      </w:r>
      <w:r w:rsidR="00844462">
        <w:t>.</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390274889"/>
      <w:bookmarkStart w:id="12" w:name="_Toc342757861"/>
      <w:bookmarkStart w:id="13" w:name="_Toc346297769"/>
      <w:bookmarkStart w:id="14" w:name="_Toc404134499"/>
      <w:r w:rsidRPr="00F93315">
        <w:t>Business Functional Requirements</w:t>
      </w:r>
      <w:bookmarkEnd w:id="11"/>
      <w:r w:rsidR="00F040D7">
        <w:t xml:space="preserve"> / Configuration</w:t>
      </w:r>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A16533"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8E0EF0">
        <w:trPr>
          <w:cantSplit/>
          <w:trHeight w:val="2240"/>
        </w:trPr>
        <w:tc>
          <w:tcPr>
            <w:tcW w:w="3960"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320C5372" w:rsidR="00C539DD" w:rsidRPr="008301E3" w:rsidRDefault="0005020D" w:rsidP="008F7601">
            <w:r w:rsidRPr="008301E3">
              <w:t>Config (Select Service Offering) page</w:t>
            </w:r>
            <w:r w:rsidR="008F7601">
              <w:t>, needs to support Commercial Carts</w:t>
            </w:r>
          </w:p>
        </w:tc>
        <w:tc>
          <w:tcPr>
            <w:tcW w:w="4950" w:type="dxa"/>
            <w:tcBorders>
              <w:top w:val="single" w:sz="4" w:space="0" w:color="auto"/>
              <w:left w:val="single" w:sz="4" w:space="0" w:color="auto"/>
              <w:bottom w:val="single" w:sz="4" w:space="0" w:color="auto"/>
              <w:right w:val="single" w:sz="4" w:space="0" w:color="auto"/>
            </w:tcBorders>
          </w:tcPr>
          <w:p w14:paraId="17543B3E" w14:textId="77777777" w:rsidR="00D43F87" w:rsidRPr="00D43F87" w:rsidRDefault="00D43F87" w:rsidP="00D43F87">
            <w:pPr>
              <w:pStyle w:val="ListParagraph"/>
              <w:numPr>
                <w:ilvl w:val="0"/>
                <w:numId w:val="14"/>
              </w:numPr>
              <w:spacing w:line="276" w:lineRule="auto"/>
              <w:ind w:left="229" w:hanging="270"/>
            </w:pPr>
            <w:r w:rsidRPr="00D43F87">
              <w:t>Add Side Load to “Route Type” dropdown list</w:t>
            </w:r>
          </w:p>
          <w:p w14:paraId="7938F472" w14:textId="1571650F" w:rsidR="00D43F87" w:rsidRPr="00D43F87" w:rsidRDefault="00D43F87" w:rsidP="00D43F87">
            <w:pPr>
              <w:pStyle w:val="ListParagraph"/>
              <w:numPr>
                <w:ilvl w:val="0"/>
                <w:numId w:val="14"/>
              </w:numPr>
              <w:spacing w:line="276" w:lineRule="auto"/>
              <w:ind w:left="229" w:hanging="270"/>
            </w:pPr>
            <w:r w:rsidRPr="00D43F87">
              <w:t>Hide Compactor, Casters, Scout route and lock options when a cart option is chosen</w:t>
            </w:r>
          </w:p>
          <w:p w14:paraId="49785ECD" w14:textId="3A3EB862" w:rsidR="00D43F87" w:rsidRPr="00D43F87" w:rsidRDefault="00D43F87" w:rsidP="00D43F87">
            <w:pPr>
              <w:pStyle w:val="ListParagraph"/>
              <w:numPr>
                <w:ilvl w:val="0"/>
                <w:numId w:val="14"/>
              </w:numPr>
              <w:spacing w:line="276" w:lineRule="auto"/>
              <w:ind w:left="229" w:hanging="270"/>
            </w:pPr>
            <w:r w:rsidRPr="00D43F87">
              <w:t>Add the following cart options to “Container Size”</w:t>
            </w:r>
          </w:p>
          <w:p w14:paraId="7B865975" w14:textId="29CCE458" w:rsidR="00855467" w:rsidRPr="008E0EF0" w:rsidRDefault="00855467" w:rsidP="008E0EF0">
            <w:pPr>
              <w:spacing w:line="276" w:lineRule="auto"/>
            </w:pPr>
          </w:p>
          <w:tbl>
            <w:tblPr>
              <w:tblW w:w="2880"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0"/>
              <w:gridCol w:w="1350"/>
            </w:tblGrid>
            <w:tr w:rsidR="008E0EF0" w14:paraId="00511EFE" w14:textId="77777777" w:rsidTr="008E0EF0">
              <w:trPr>
                <w:trHeight w:val="315"/>
              </w:trPr>
              <w:tc>
                <w:tcPr>
                  <w:tcW w:w="1530" w:type="dxa"/>
                  <w:shd w:val="clear" w:color="auto" w:fill="auto"/>
                  <w:tcMar>
                    <w:top w:w="0" w:type="dxa"/>
                    <w:left w:w="108" w:type="dxa"/>
                    <w:bottom w:w="0" w:type="dxa"/>
                    <w:right w:w="108" w:type="dxa"/>
                  </w:tcMar>
                  <w:vAlign w:val="center"/>
                  <w:hideMark/>
                </w:tcPr>
                <w:p w14:paraId="3D2FBB53" w14:textId="63C55C09" w:rsidR="008E0EF0" w:rsidRPr="008E0EF0" w:rsidRDefault="008E0EF0" w:rsidP="008E0EF0">
                  <w:pPr>
                    <w:jc w:val="center"/>
                  </w:pPr>
                  <w:bookmarkStart w:id="15" w:name="RANGE!F1"/>
                  <w:r w:rsidRPr="008E0EF0">
                    <w:t>Container Size</w:t>
                  </w:r>
                  <w:bookmarkEnd w:id="15"/>
                </w:p>
              </w:tc>
              <w:tc>
                <w:tcPr>
                  <w:tcW w:w="1350" w:type="dxa"/>
                  <w:shd w:val="clear" w:color="auto" w:fill="auto"/>
                  <w:noWrap/>
                  <w:tcMar>
                    <w:top w:w="0" w:type="dxa"/>
                    <w:left w:w="108" w:type="dxa"/>
                    <w:bottom w:w="0" w:type="dxa"/>
                    <w:right w:w="108" w:type="dxa"/>
                  </w:tcMar>
                  <w:vAlign w:val="center"/>
                  <w:hideMark/>
                </w:tcPr>
                <w:p w14:paraId="6B323611" w14:textId="2568A6FA" w:rsidR="008E0EF0" w:rsidRPr="008E0EF0" w:rsidRDefault="008E0EF0" w:rsidP="008E0EF0">
                  <w:pPr>
                    <w:jc w:val="center"/>
                  </w:pPr>
                  <w:r w:rsidRPr="008E0EF0">
                    <w:t>Cart Size</w:t>
                  </w:r>
                </w:p>
              </w:tc>
            </w:tr>
            <w:tr w:rsidR="008E0EF0" w14:paraId="33C8B0F4" w14:textId="77777777" w:rsidTr="008E0EF0">
              <w:trPr>
                <w:trHeight w:val="315"/>
              </w:trPr>
              <w:tc>
                <w:tcPr>
                  <w:tcW w:w="1530" w:type="dxa"/>
                  <w:shd w:val="clear" w:color="auto" w:fill="auto"/>
                  <w:tcMar>
                    <w:top w:w="0" w:type="dxa"/>
                    <w:left w:w="108" w:type="dxa"/>
                    <w:bottom w:w="0" w:type="dxa"/>
                    <w:right w:w="108" w:type="dxa"/>
                  </w:tcMar>
                  <w:vAlign w:val="center"/>
                  <w:hideMark/>
                </w:tcPr>
                <w:p w14:paraId="431EB0A5" w14:textId="5DC22422" w:rsidR="008E0EF0" w:rsidRPr="008E0EF0" w:rsidRDefault="008E0EF0" w:rsidP="008E0EF0">
                  <w:pPr>
                    <w:jc w:val="center"/>
                    <w:rPr>
                      <w:rFonts w:eastAsiaTheme="minorHAnsi"/>
                    </w:rPr>
                  </w:pPr>
                  <w:bookmarkStart w:id="16" w:name="RANGE!F2:F8"/>
                  <w:r w:rsidRPr="008E0EF0">
                    <w:t>0.16</w:t>
                  </w:r>
                  <w:bookmarkEnd w:id="16"/>
                </w:p>
              </w:tc>
              <w:tc>
                <w:tcPr>
                  <w:tcW w:w="1350" w:type="dxa"/>
                  <w:shd w:val="clear" w:color="auto" w:fill="auto"/>
                  <w:noWrap/>
                  <w:tcMar>
                    <w:top w:w="0" w:type="dxa"/>
                    <w:left w:w="108" w:type="dxa"/>
                    <w:bottom w:w="0" w:type="dxa"/>
                    <w:right w:w="108" w:type="dxa"/>
                  </w:tcMar>
                  <w:vAlign w:val="center"/>
                  <w:hideMark/>
                </w:tcPr>
                <w:p w14:paraId="0B6B7087" w14:textId="77777777" w:rsidR="008E0EF0" w:rsidRPr="008E0EF0" w:rsidRDefault="008E0EF0" w:rsidP="008E0EF0">
                  <w:pPr>
                    <w:jc w:val="center"/>
                  </w:pPr>
                  <w:r w:rsidRPr="008E0EF0">
                    <w:t>32 Gallon</w:t>
                  </w:r>
                </w:p>
              </w:tc>
            </w:tr>
            <w:tr w:rsidR="008E0EF0" w14:paraId="23E44E15" w14:textId="77777777" w:rsidTr="008E0EF0">
              <w:trPr>
                <w:trHeight w:val="315"/>
              </w:trPr>
              <w:tc>
                <w:tcPr>
                  <w:tcW w:w="1530" w:type="dxa"/>
                  <w:shd w:val="clear" w:color="auto" w:fill="auto"/>
                  <w:tcMar>
                    <w:top w:w="0" w:type="dxa"/>
                    <w:left w:w="108" w:type="dxa"/>
                    <w:bottom w:w="0" w:type="dxa"/>
                    <w:right w:w="108" w:type="dxa"/>
                  </w:tcMar>
                  <w:vAlign w:val="center"/>
                  <w:hideMark/>
                </w:tcPr>
                <w:p w14:paraId="3539462D" w14:textId="77777777" w:rsidR="008E0EF0" w:rsidRPr="008E0EF0" w:rsidRDefault="008E0EF0" w:rsidP="008E0EF0">
                  <w:pPr>
                    <w:jc w:val="center"/>
                  </w:pPr>
                  <w:r w:rsidRPr="008E0EF0">
                    <w:t>0.17</w:t>
                  </w:r>
                </w:p>
              </w:tc>
              <w:tc>
                <w:tcPr>
                  <w:tcW w:w="1350" w:type="dxa"/>
                  <w:shd w:val="clear" w:color="auto" w:fill="auto"/>
                  <w:noWrap/>
                  <w:tcMar>
                    <w:top w:w="0" w:type="dxa"/>
                    <w:left w:w="108" w:type="dxa"/>
                    <w:bottom w:w="0" w:type="dxa"/>
                    <w:right w:w="108" w:type="dxa"/>
                  </w:tcMar>
                  <w:vAlign w:val="center"/>
                  <w:hideMark/>
                </w:tcPr>
                <w:p w14:paraId="7145F566" w14:textId="77777777" w:rsidR="008E0EF0" w:rsidRPr="008E0EF0" w:rsidRDefault="008E0EF0" w:rsidP="008E0EF0">
                  <w:pPr>
                    <w:jc w:val="center"/>
                  </w:pPr>
                  <w:r w:rsidRPr="008E0EF0">
                    <w:t>35 Gallon</w:t>
                  </w:r>
                </w:p>
              </w:tc>
            </w:tr>
            <w:tr w:rsidR="008E0EF0" w14:paraId="34CD0D03" w14:textId="77777777" w:rsidTr="008E0EF0">
              <w:trPr>
                <w:trHeight w:val="315"/>
              </w:trPr>
              <w:tc>
                <w:tcPr>
                  <w:tcW w:w="1530" w:type="dxa"/>
                  <w:shd w:val="clear" w:color="auto" w:fill="auto"/>
                  <w:tcMar>
                    <w:top w:w="0" w:type="dxa"/>
                    <w:left w:w="108" w:type="dxa"/>
                    <w:bottom w:w="0" w:type="dxa"/>
                    <w:right w:w="108" w:type="dxa"/>
                  </w:tcMar>
                  <w:vAlign w:val="center"/>
                  <w:hideMark/>
                </w:tcPr>
                <w:p w14:paraId="08943135" w14:textId="344FDA8C" w:rsidR="008E0EF0" w:rsidRPr="008E0EF0" w:rsidRDefault="008E0EF0" w:rsidP="008E0EF0">
                  <w:pPr>
                    <w:jc w:val="center"/>
                  </w:pPr>
                  <w:r w:rsidRPr="008E0EF0">
                    <w:t>0.3</w:t>
                  </w:r>
                  <w:r>
                    <w:t>0</w:t>
                  </w:r>
                </w:p>
              </w:tc>
              <w:tc>
                <w:tcPr>
                  <w:tcW w:w="1350" w:type="dxa"/>
                  <w:shd w:val="clear" w:color="auto" w:fill="auto"/>
                  <w:noWrap/>
                  <w:tcMar>
                    <w:top w:w="0" w:type="dxa"/>
                    <w:left w:w="108" w:type="dxa"/>
                    <w:bottom w:w="0" w:type="dxa"/>
                    <w:right w:w="108" w:type="dxa"/>
                  </w:tcMar>
                  <w:vAlign w:val="center"/>
                  <w:hideMark/>
                </w:tcPr>
                <w:p w14:paraId="38306CDC" w14:textId="77777777" w:rsidR="008E0EF0" w:rsidRPr="008E0EF0" w:rsidRDefault="008E0EF0" w:rsidP="008E0EF0">
                  <w:pPr>
                    <w:jc w:val="center"/>
                  </w:pPr>
                  <w:r w:rsidRPr="008E0EF0">
                    <w:t>60 Gallon</w:t>
                  </w:r>
                </w:p>
              </w:tc>
            </w:tr>
            <w:tr w:rsidR="008E0EF0" w14:paraId="6BACB661" w14:textId="77777777" w:rsidTr="008E0EF0">
              <w:trPr>
                <w:trHeight w:val="315"/>
              </w:trPr>
              <w:tc>
                <w:tcPr>
                  <w:tcW w:w="1530" w:type="dxa"/>
                  <w:shd w:val="clear" w:color="auto" w:fill="auto"/>
                  <w:tcMar>
                    <w:top w:w="0" w:type="dxa"/>
                    <w:left w:w="108" w:type="dxa"/>
                    <w:bottom w:w="0" w:type="dxa"/>
                    <w:right w:w="108" w:type="dxa"/>
                  </w:tcMar>
                  <w:vAlign w:val="center"/>
                  <w:hideMark/>
                </w:tcPr>
                <w:p w14:paraId="397904CE" w14:textId="77777777" w:rsidR="008E0EF0" w:rsidRPr="008E0EF0" w:rsidRDefault="008E0EF0" w:rsidP="008E0EF0">
                  <w:pPr>
                    <w:jc w:val="center"/>
                  </w:pPr>
                  <w:r w:rsidRPr="008E0EF0">
                    <w:t>0.32</w:t>
                  </w:r>
                </w:p>
              </w:tc>
              <w:tc>
                <w:tcPr>
                  <w:tcW w:w="1350" w:type="dxa"/>
                  <w:shd w:val="clear" w:color="auto" w:fill="auto"/>
                  <w:noWrap/>
                  <w:tcMar>
                    <w:top w:w="0" w:type="dxa"/>
                    <w:left w:w="108" w:type="dxa"/>
                    <w:bottom w:w="0" w:type="dxa"/>
                    <w:right w:w="108" w:type="dxa"/>
                  </w:tcMar>
                  <w:vAlign w:val="center"/>
                  <w:hideMark/>
                </w:tcPr>
                <w:p w14:paraId="72BA2F12" w14:textId="77777777" w:rsidR="008E0EF0" w:rsidRPr="008E0EF0" w:rsidRDefault="008E0EF0" w:rsidP="008E0EF0">
                  <w:pPr>
                    <w:jc w:val="center"/>
                  </w:pPr>
                  <w:r w:rsidRPr="008E0EF0">
                    <w:t>64 Gallon</w:t>
                  </w:r>
                </w:p>
              </w:tc>
            </w:tr>
            <w:tr w:rsidR="008E0EF0" w14:paraId="07170266" w14:textId="77777777" w:rsidTr="008E0EF0">
              <w:trPr>
                <w:trHeight w:val="315"/>
              </w:trPr>
              <w:tc>
                <w:tcPr>
                  <w:tcW w:w="1530" w:type="dxa"/>
                  <w:shd w:val="clear" w:color="auto" w:fill="auto"/>
                  <w:tcMar>
                    <w:top w:w="0" w:type="dxa"/>
                    <w:left w:w="108" w:type="dxa"/>
                    <w:bottom w:w="0" w:type="dxa"/>
                    <w:right w:w="108" w:type="dxa"/>
                  </w:tcMar>
                  <w:vAlign w:val="center"/>
                  <w:hideMark/>
                </w:tcPr>
                <w:p w14:paraId="5BDD965B" w14:textId="77777777" w:rsidR="008E0EF0" w:rsidRPr="008E0EF0" w:rsidRDefault="008E0EF0" w:rsidP="008E0EF0">
                  <w:pPr>
                    <w:jc w:val="center"/>
                  </w:pPr>
                  <w:r w:rsidRPr="008E0EF0">
                    <w:t>0.45</w:t>
                  </w:r>
                </w:p>
              </w:tc>
              <w:tc>
                <w:tcPr>
                  <w:tcW w:w="1350" w:type="dxa"/>
                  <w:shd w:val="clear" w:color="auto" w:fill="auto"/>
                  <w:noWrap/>
                  <w:tcMar>
                    <w:top w:w="0" w:type="dxa"/>
                    <w:left w:w="108" w:type="dxa"/>
                    <w:bottom w:w="0" w:type="dxa"/>
                    <w:right w:w="108" w:type="dxa"/>
                  </w:tcMar>
                  <w:vAlign w:val="center"/>
                  <w:hideMark/>
                </w:tcPr>
                <w:p w14:paraId="5EDE0948" w14:textId="77777777" w:rsidR="008E0EF0" w:rsidRPr="008E0EF0" w:rsidRDefault="008E0EF0" w:rsidP="008E0EF0">
                  <w:pPr>
                    <w:jc w:val="center"/>
                  </w:pPr>
                  <w:r w:rsidRPr="008E0EF0">
                    <w:t>90 Gallon</w:t>
                  </w:r>
                </w:p>
              </w:tc>
            </w:tr>
            <w:tr w:rsidR="008E0EF0" w14:paraId="3BE23552" w14:textId="77777777" w:rsidTr="008E0EF0">
              <w:trPr>
                <w:trHeight w:val="315"/>
              </w:trPr>
              <w:tc>
                <w:tcPr>
                  <w:tcW w:w="1530" w:type="dxa"/>
                  <w:shd w:val="clear" w:color="auto" w:fill="auto"/>
                  <w:tcMar>
                    <w:top w:w="0" w:type="dxa"/>
                    <w:left w:w="108" w:type="dxa"/>
                    <w:bottom w:w="0" w:type="dxa"/>
                    <w:right w:w="108" w:type="dxa"/>
                  </w:tcMar>
                  <w:vAlign w:val="center"/>
                  <w:hideMark/>
                </w:tcPr>
                <w:p w14:paraId="18C3C478" w14:textId="77777777" w:rsidR="008E0EF0" w:rsidRPr="008E0EF0" w:rsidRDefault="008E0EF0" w:rsidP="008E0EF0">
                  <w:pPr>
                    <w:jc w:val="center"/>
                  </w:pPr>
                  <w:r w:rsidRPr="008E0EF0">
                    <w:t>0.48</w:t>
                  </w:r>
                </w:p>
              </w:tc>
              <w:tc>
                <w:tcPr>
                  <w:tcW w:w="1350" w:type="dxa"/>
                  <w:shd w:val="clear" w:color="auto" w:fill="auto"/>
                  <w:noWrap/>
                  <w:tcMar>
                    <w:top w:w="0" w:type="dxa"/>
                    <w:left w:w="108" w:type="dxa"/>
                    <w:bottom w:w="0" w:type="dxa"/>
                    <w:right w:w="108" w:type="dxa"/>
                  </w:tcMar>
                  <w:vAlign w:val="center"/>
                  <w:hideMark/>
                </w:tcPr>
                <w:p w14:paraId="2954F906" w14:textId="77777777" w:rsidR="008E0EF0" w:rsidRPr="008E0EF0" w:rsidRDefault="008E0EF0" w:rsidP="008E0EF0">
                  <w:pPr>
                    <w:jc w:val="center"/>
                  </w:pPr>
                  <w:r w:rsidRPr="008E0EF0">
                    <w:t>96 Gallon</w:t>
                  </w:r>
                </w:p>
              </w:tc>
            </w:tr>
            <w:tr w:rsidR="008E0EF0" w14:paraId="37546D96" w14:textId="77777777" w:rsidTr="008E0EF0">
              <w:trPr>
                <w:trHeight w:val="315"/>
              </w:trPr>
              <w:tc>
                <w:tcPr>
                  <w:tcW w:w="1530" w:type="dxa"/>
                  <w:shd w:val="clear" w:color="auto" w:fill="auto"/>
                  <w:tcMar>
                    <w:top w:w="0" w:type="dxa"/>
                    <w:left w:w="108" w:type="dxa"/>
                    <w:bottom w:w="0" w:type="dxa"/>
                    <w:right w:w="108" w:type="dxa"/>
                  </w:tcMar>
                  <w:vAlign w:val="center"/>
                  <w:hideMark/>
                </w:tcPr>
                <w:p w14:paraId="702451F8" w14:textId="76800F03" w:rsidR="008E0EF0" w:rsidRPr="008E0EF0" w:rsidRDefault="008E0EF0" w:rsidP="008E0EF0">
                  <w:pPr>
                    <w:jc w:val="center"/>
                  </w:pPr>
                  <w:r w:rsidRPr="008E0EF0">
                    <w:t>0.5</w:t>
                  </w:r>
                  <w:r>
                    <w:t>0</w:t>
                  </w:r>
                </w:p>
              </w:tc>
              <w:tc>
                <w:tcPr>
                  <w:tcW w:w="1350" w:type="dxa"/>
                  <w:shd w:val="clear" w:color="auto" w:fill="auto"/>
                  <w:noWrap/>
                  <w:tcMar>
                    <w:top w:w="0" w:type="dxa"/>
                    <w:left w:w="108" w:type="dxa"/>
                    <w:bottom w:w="0" w:type="dxa"/>
                    <w:right w:w="108" w:type="dxa"/>
                  </w:tcMar>
                  <w:vAlign w:val="center"/>
                  <w:hideMark/>
                </w:tcPr>
                <w:p w14:paraId="3C69865D" w14:textId="77777777" w:rsidR="008E0EF0" w:rsidRPr="008E0EF0" w:rsidRDefault="008E0EF0" w:rsidP="008E0EF0">
                  <w:pPr>
                    <w:jc w:val="center"/>
                  </w:pPr>
                  <w:r w:rsidRPr="008E0EF0">
                    <w:t>100 Gallon</w:t>
                  </w:r>
                </w:p>
              </w:tc>
            </w:tr>
          </w:tbl>
          <w:p w14:paraId="2FA5A614" w14:textId="71637180" w:rsidR="008E0EF0" w:rsidRPr="008E0EF0" w:rsidRDefault="008E0EF0" w:rsidP="008E0EF0">
            <w:pPr>
              <w:spacing w:line="276" w:lineRule="auto"/>
              <w:ind w:left="229"/>
            </w:pPr>
          </w:p>
        </w:tc>
      </w:tr>
      <w:tr w:rsidR="000742A6" w:rsidRPr="004D04DC" w14:paraId="6615A65E" w14:textId="77777777" w:rsidTr="008E0EF0">
        <w:trPr>
          <w:cantSplit/>
          <w:trHeight w:val="584"/>
        </w:trPr>
        <w:tc>
          <w:tcPr>
            <w:tcW w:w="3960" w:type="dxa"/>
            <w:tcBorders>
              <w:top w:val="single" w:sz="4" w:space="0" w:color="auto"/>
              <w:left w:val="single" w:sz="4" w:space="0" w:color="auto"/>
              <w:bottom w:val="single" w:sz="4" w:space="0" w:color="auto"/>
              <w:right w:val="single" w:sz="4" w:space="0" w:color="auto"/>
            </w:tcBorders>
          </w:tcPr>
          <w:p w14:paraId="45F2C4AD" w14:textId="77777777" w:rsidR="008301E3" w:rsidRDefault="008301E3" w:rsidP="000742A6">
            <w:pPr>
              <w:pStyle w:val="ListParagraph"/>
              <w:numPr>
                <w:ilvl w:val="0"/>
                <w:numId w:val="2"/>
              </w:numPr>
            </w:pPr>
          </w:p>
          <w:p w14:paraId="5E5684FA" w14:textId="51196A9D" w:rsidR="000742A6" w:rsidRPr="008301E3" w:rsidRDefault="009F6500" w:rsidP="008F7601">
            <w:r>
              <w:t xml:space="preserve">Configuration Templates </w:t>
            </w:r>
            <w:r w:rsidR="008F7601">
              <w:t>need to reflect cart related data if sold by that division.</w:t>
            </w:r>
          </w:p>
        </w:tc>
        <w:tc>
          <w:tcPr>
            <w:tcW w:w="4950" w:type="dxa"/>
            <w:tcBorders>
              <w:top w:val="single" w:sz="4" w:space="0" w:color="auto"/>
              <w:left w:val="single" w:sz="4" w:space="0" w:color="auto"/>
              <w:bottom w:val="single" w:sz="4" w:space="0" w:color="auto"/>
              <w:right w:val="single" w:sz="4" w:space="0" w:color="auto"/>
            </w:tcBorders>
          </w:tcPr>
          <w:p w14:paraId="7C4F8166" w14:textId="77777777" w:rsidR="008301E3" w:rsidRDefault="008301E3" w:rsidP="00D43756">
            <w:pPr>
              <w:pStyle w:val="ListParagraph"/>
              <w:numPr>
                <w:ilvl w:val="0"/>
                <w:numId w:val="28"/>
              </w:numPr>
              <w:ind w:left="252" w:hanging="252"/>
            </w:pPr>
            <w:r w:rsidRPr="00D43756">
              <w:t xml:space="preserve">Update all </w:t>
            </w:r>
            <w:r w:rsidR="009F6500" w:rsidRPr="00D43756">
              <w:t xml:space="preserve">configuration templates </w:t>
            </w:r>
            <w:r w:rsidRPr="00D43756">
              <w:t>to include “</w:t>
            </w:r>
            <w:r w:rsidR="009F6500" w:rsidRPr="00D43756">
              <w:t xml:space="preserve">Add </w:t>
            </w:r>
            <w:r w:rsidRPr="00D43756">
              <w:t xml:space="preserve">Side Load” as </w:t>
            </w:r>
            <w:r w:rsidR="009F6500" w:rsidRPr="00D43756">
              <w:t xml:space="preserve">an </w:t>
            </w:r>
            <w:r w:rsidRPr="00D43756">
              <w:t>option for “Route Type”</w:t>
            </w:r>
            <w:r w:rsidR="009F6500" w:rsidRPr="00D43756">
              <w:t xml:space="preserve"> data validation on the Market Specs tab</w:t>
            </w:r>
          </w:p>
          <w:p w14:paraId="38386208" w14:textId="47BB61C2" w:rsidR="00D43756" w:rsidRPr="00D43756" w:rsidRDefault="00D43756" w:rsidP="00D43756">
            <w:pPr>
              <w:pStyle w:val="ListParagraph"/>
              <w:numPr>
                <w:ilvl w:val="0"/>
                <w:numId w:val="28"/>
              </w:numPr>
              <w:ind w:left="252" w:hanging="252"/>
            </w:pPr>
            <w:r>
              <w:t xml:space="preserve">Create mechanism for divisions to modify their minimum monthly charge </w:t>
            </w:r>
            <w:r w:rsidR="00876EF0">
              <w:t>for carts</w:t>
            </w:r>
          </w:p>
        </w:tc>
      </w:tr>
      <w:tr w:rsidR="00F040D7" w:rsidRPr="004D04DC" w14:paraId="4993ACFA" w14:textId="77777777" w:rsidTr="008E0EF0">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C3923EB" w14:textId="77777777"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024AC57A" w14:textId="77777777" w:rsidR="00F040D7" w:rsidRPr="00F040D7" w:rsidRDefault="00F040D7" w:rsidP="00F040D7">
            <w:pPr>
              <w:pStyle w:val="ListParagraph"/>
              <w:numPr>
                <w:ilvl w:val="0"/>
                <w:numId w:val="26"/>
              </w:numPr>
              <w:ind w:left="252" w:hanging="270"/>
            </w:pPr>
            <w:r w:rsidRPr="00F040D7">
              <w:t>Commercial cart pricing will use the same KPIs and cost formulas as all other commercial containers</w:t>
            </w:r>
          </w:p>
          <w:p w14:paraId="6556AF65" w14:textId="65A1BA17" w:rsidR="00F040D7" w:rsidRPr="00F040D7" w:rsidRDefault="00F040D7" w:rsidP="00F040D7">
            <w:pPr>
              <w:pStyle w:val="ListParagraph"/>
              <w:numPr>
                <w:ilvl w:val="0"/>
                <w:numId w:val="26"/>
              </w:numPr>
              <w:ind w:left="252" w:hanging="270"/>
            </w:pPr>
            <w:r w:rsidRPr="00F040D7">
              <w:t>Line Item Grid Description</w:t>
            </w:r>
            <w:r w:rsidR="008D5E5F">
              <w:t xml:space="preserve"> – user waste type + cont desc (Solid Waste Cart)</w:t>
            </w:r>
          </w:p>
        </w:tc>
      </w:tr>
      <w:tr w:rsidR="00F040D7" w:rsidRPr="00A16533" w14:paraId="3CA007A2"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362619F8" w14:textId="349C663D"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07017880" w14:textId="77777777" w:rsidR="00F040D7" w:rsidRDefault="00F040D7" w:rsidP="00F040D7">
            <w:pPr>
              <w:pStyle w:val="ListParagraph"/>
              <w:tabs>
                <w:tab w:val="left" w:pos="293"/>
              </w:tabs>
              <w:ind w:left="0"/>
            </w:pPr>
            <w:r>
              <w:t>No change should be needed as data should seamlessly flow to CSA and Proposal</w:t>
            </w:r>
          </w:p>
          <w:p w14:paraId="5130E35E" w14:textId="77777777" w:rsidR="00F040D7" w:rsidRDefault="00F040D7" w:rsidP="00F040D7">
            <w:pPr>
              <w:pStyle w:val="ListParagraph"/>
              <w:tabs>
                <w:tab w:val="left" w:pos="293"/>
              </w:tabs>
              <w:ind w:left="0"/>
            </w:pPr>
          </w:p>
          <w:p w14:paraId="3CA007A1" w14:textId="5B8F7213" w:rsidR="00F040D7" w:rsidRPr="008C5AFD" w:rsidRDefault="00F040D7" w:rsidP="00F040D7">
            <w:pPr>
              <w:pStyle w:val="ListParagraph"/>
              <w:tabs>
                <w:tab w:val="left" w:pos="293"/>
              </w:tabs>
              <w:ind w:left="0"/>
            </w:pPr>
            <w:r>
              <w:t>Not impact on Sample Invoice</w:t>
            </w:r>
          </w:p>
        </w:tc>
      </w:tr>
      <w:tr w:rsidR="00F040D7" w:rsidRPr="00A16533" w14:paraId="749228C6"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1180D6E1" w14:textId="77777777"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76D21590" w14:textId="270A8AAC" w:rsidR="00F040D7" w:rsidRPr="00F040D7" w:rsidRDefault="00F040D7" w:rsidP="00F040D7">
            <w:pPr>
              <w:pStyle w:val="ListParagraph"/>
              <w:tabs>
                <w:tab w:val="left" w:pos="293"/>
              </w:tabs>
              <w:ind w:left="0"/>
            </w:pPr>
            <w:r w:rsidRPr="00F040D7">
              <w:t>Approvals will apply to commercial carts the same as any other container.  Any sale below floor will require approval.”) (NOTE:  is this accurate or is approval deal level for small container?</w:t>
            </w:r>
          </w:p>
        </w:tc>
      </w:tr>
    </w:tbl>
    <w:p w14:paraId="34389F90" w14:textId="77777777" w:rsidR="00F040D7" w:rsidRDefault="00F040D7" w:rsidP="00F040D7">
      <w:pPr>
        <w:pStyle w:val="Heading3"/>
        <w:numPr>
          <w:ilvl w:val="0"/>
          <w:numId w:val="0"/>
        </w:numPr>
        <w:ind w:left="720" w:hanging="720"/>
      </w:pPr>
      <w:bookmarkStart w:id="17" w:name="_Toc390274891"/>
      <w:bookmarkStart w:id="18" w:name="_Toc342757862"/>
      <w:bookmarkStart w:id="19" w:name="_Toc346297770"/>
      <w:bookmarkStart w:id="20"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r>
        <w:t>Technical Design</w:t>
      </w:r>
      <w:r w:rsidRPr="00F93315">
        <w:t xml:space="preserve"> Requirements</w:t>
      </w:r>
      <w:bookmarkEnd w:id="17"/>
      <w:r w:rsidR="00851C53">
        <w:tab/>
      </w:r>
    </w:p>
    <w:p w14:paraId="0A4E4714" w14:textId="77777777" w:rsidR="00CA2B01" w:rsidRDefault="00CA2B01" w:rsidP="00CA2B01">
      <w:pPr>
        <w:jc w:val="both"/>
      </w:pPr>
    </w:p>
    <w:tbl>
      <w:tblPr>
        <w:tblStyle w:val="TableGrid"/>
        <w:tblW w:w="8910" w:type="dxa"/>
        <w:tblInd w:w="108" w:type="dxa"/>
        <w:tblLook w:val="04A0" w:firstRow="1" w:lastRow="0" w:firstColumn="1" w:lastColumn="0" w:noHBand="0" w:noVBand="1"/>
      </w:tblPr>
      <w:tblGrid>
        <w:gridCol w:w="3960"/>
        <w:gridCol w:w="4950"/>
      </w:tblGrid>
      <w:tr w:rsidR="00CA2B01" w:rsidRPr="00A16533"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0F1527BF" w:rsidR="00D43756" w:rsidRPr="00876EF0" w:rsidRDefault="00876EF0" w:rsidP="00876EF0">
            <w:r w:rsidRPr="00876EF0">
              <w:t>Build structure to hold division specficific minimum monthly charge</w:t>
            </w:r>
          </w:p>
        </w:tc>
        <w:tc>
          <w:tcPr>
            <w:tcW w:w="4950" w:type="dxa"/>
            <w:tcBorders>
              <w:top w:val="single" w:sz="4" w:space="0" w:color="auto"/>
              <w:left w:val="single" w:sz="4" w:space="0" w:color="auto"/>
              <w:bottom w:val="single" w:sz="4" w:space="0" w:color="auto"/>
              <w:right w:val="single" w:sz="4" w:space="0" w:color="auto"/>
            </w:tcBorders>
          </w:tcPr>
          <w:p w14:paraId="435291D1" w14:textId="77777777" w:rsidR="00876EF0" w:rsidRDefault="00876EF0" w:rsidP="00876EF0">
            <w:pPr>
              <w:pStyle w:val="ListParagraph"/>
              <w:numPr>
                <w:ilvl w:val="0"/>
                <w:numId w:val="27"/>
              </w:numPr>
              <w:ind w:left="252" w:hanging="252"/>
              <w:contextualSpacing w:val="0"/>
            </w:pPr>
            <w:r>
              <w:t>Add table div_sm_cont_factors to house small container configuration data by Lawson division</w:t>
            </w:r>
          </w:p>
          <w:p w14:paraId="0FF91CE1" w14:textId="681CC2D5" w:rsidR="00876EF0" w:rsidRPr="00876EF0" w:rsidRDefault="00876EF0" w:rsidP="00876EF0">
            <w:pPr>
              <w:pStyle w:val="ListParagraph"/>
              <w:numPr>
                <w:ilvl w:val="0"/>
                <w:numId w:val="27"/>
              </w:numPr>
              <w:ind w:left="252" w:hanging="252"/>
              <w:contextualSpacing w:val="0"/>
            </w:pPr>
            <w:r>
              <w:t xml:space="preserve">Add 3 columns to start: </w:t>
            </w:r>
            <w:r w:rsidRPr="00876EF0">
              <w:t>division</w:t>
            </w:r>
            <w:r>
              <w:t xml:space="preserve">, </w:t>
            </w:r>
            <w:r w:rsidRPr="00876EF0">
              <w:t>container_minumum</w:t>
            </w:r>
            <w:r>
              <w:t xml:space="preserve"> and </w:t>
            </w:r>
            <w:r w:rsidRPr="00876EF0">
              <w:t>cart_minimum</w:t>
            </w:r>
          </w:p>
        </w:tc>
      </w:tr>
      <w:tr w:rsidR="00CA2B01" w:rsidRPr="004D04DC"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4950" w:type="dxa"/>
            <w:tcBorders>
              <w:top w:val="single" w:sz="4" w:space="0" w:color="auto"/>
              <w:left w:val="single" w:sz="4" w:space="0" w:color="auto"/>
              <w:bottom w:val="single" w:sz="4" w:space="0" w:color="auto"/>
              <w:right w:val="single" w:sz="4" w:space="0" w:color="auto"/>
            </w:tcBorders>
          </w:tcPr>
          <w:p w14:paraId="3E78C62C" w14:textId="520F9B44" w:rsidR="00285085" w:rsidRPr="002C10B2" w:rsidRDefault="00851C53" w:rsidP="002C10B2">
            <w:pPr>
              <w:pStyle w:val="ListParagraph"/>
              <w:numPr>
                <w:ilvl w:val="0"/>
                <w:numId w:val="27"/>
              </w:numPr>
              <w:ind w:left="252" w:hanging="252"/>
            </w:pPr>
            <w:r w:rsidRPr="002C10B2">
              <w:t>Bring in Side Load (SL) to div_route_types</w:t>
            </w:r>
            <w:r w:rsidR="00050320" w:rsidRPr="002C10B2">
              <w:t xml:space="preserve"> from </w:t>
            </w:r>
            <w:r w:rsidR="009F6500" w:rsidRPr="002C10B2">
              <w:t xml:space="preserve">configuration templates. </w:t>
            </w:r>
          </w:p>
          <w:p w14:paraId="310B070C" w14:textId="287CFAF0" w:rsidR="00050320" w:rsidRPr="002C10B2" w:rsidRDefault="00050320" w:rsidP="002C10B2">
            <w:pPr>
              <w:pStyle w:val="ListParagraph"/>
              <w:numPr>
                <w:ilvl w:val="0"/>
                <w:numId w:val="27"/>
              </w:numPr>
              <w:ind w:left="252" w:hanging="252"/>
            </w:pPr>
            <w:r w:rsidRPr="002C10B2">
              <w:t xml:space="preserve">Modify ETL </w:t>
            </w:r>
            <w:r w:rsidR="00994148" w:rsidRPr="002C10B2">
              <w:t>(R Code) to load from DM to BMI</w:t>
            </w:r>
            <w:r w:rsidR="00876EF0">
              <w:t xml:space="preserve"> as well as </w:t>
            </w:r>
            <w:r w:rsidR="00876EF0" w:rsidRPr="00876EF0">
              <w:t>read and write config template data for minimums</w:t>
            </w:r>
          </w:p>
          <w:p w14:paraId="6E919E2B" w14:textId="39DDDA95" w:rsidR="002C10B2" w:rsidRDefault="002C10B2" w:rsidP="002C10B2">
            <w:pPr>
              <w:pStyle w:val="ListParagraph"/>
              <w:numPr>
                <w:ilvl w:val="0"/>
                <w:numId w:val="27"/>
              </w:numPr>
              <w:ind w:left="252" w:hanging="252"/>
            </w:pPr>
            <w:r w:rsidRPr="002C10B2">
              <w:t>Make sure Suggested Rate table</w:t>
            </w:r>
            <w:r w:rsidR="00D43756">
              <w:t xml:space="preserve"> and parts data</w:t>
            </w:r>
            <w:r w:rsidRPr="002C10B2">
              <w:t xml:space="preserve"> is up to date with CA, RC and SL</w:t>
            </w:r>
          </w:p>
          <w:p w14:paraId="4664FC53" w14:textId="3CFFB97C" w:rsidR="008D5E5F" w:rsidRPr="002C10B2" w:rsidRDefault="008D5E5F" w:rsidP="002C10B2">
            <w:pPr>
              <w:pStyle w:val="ListParagraph"/>
              <w:numPr>
                <w:ilvl w:val="0"/>
                <w:numId w:val="27"/>
              </w:numPr>
              <w:ind w:left="252" w:hanging="252"/>
            </w:pPr>
            <w:r>
              <w:t>Change Corp minimum to $10 and confirm every placemat has a value.</w:t>
            </w:r>
          </w:p>
        </w:tc>
      </w:tr>
      <w:tr w:rsidR="00050320" w:rsidRPr="004D04DC" w14:paraId="192E9A35"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260AE7" w14:textId="77777777"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4950" w:type="dxa"/>
            <w:tcBorders>
              <w:top w:val="single" w:sz="4" w:space="0" w:color="auto"/>
              <w:left w:val="single" w:sz="4" w:space="0" w:color="auto"/>
              <w:bottom w:val="single" w:sz="4" w:space="0" w:color="auto"/>
              <w:right w:val="single" w:sz="4" w:space="0" w:color="auto"/>
            </w:tcBorders>
          </w:tcPr>
          <w:p w14:paraId="4CDB6E98" w14:textId="0DA8E51C" w:rsidR="00706525" w:rsidRPr="005739B9" w:rsidRDefault="000D54A4" w:rsidP="005739B9">
            <w:r>
              <w:t xml:space="preserve">None – </w:t>
            </w:r>
          </w:p>
        </w:tc>
      </w:tr>
      <w:tr w:rsidR="00E0092F" w:rsidRPr="004D04DC" w14:paraId="6ADC96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167DB524" w:rsidR="00E0092F" w:rsidRPr="00425538" w:rsidRDefault="00425538" w:rsidP="00425538">
            <w:r w:rsidRPr="00E0092F">
              <w:t>Pricing Changes</w:t>
            </w:r>
          </w:p>
        </w:tc>
        <w:tc>
          <w:tcPr>
            <w:tcW w:w="4950" w:type="dxa"/>
            <w:tcBorders>
              <w:top w:val="single" w:sz="4" w:space="0" w:color="auto"/>
              <w:left w:val="single" w:sz="4" w:space="0" w:color="auto"/>
              <w:bottom w:val="single" w:sz="4" w:space="0" w:color="auto"/>
              <w:right w:val="single" w:sz="4" w:space="0" w:color="auto"/>
            </w:tcBorders>
          </w:tcPr>
          <w:p w14:paraId="033A33A9" w14:textId="4EA6CBCC" w:rsidR="00FE0F82" w:rsidRPr="00EC63CB" w:rsidRDefault="000D54A4" w:rsidP="00EC63CB">
            <w:pPr>
              <w:pStyle w:val="ListParagraph"/>
              <w:numPr>
                <w:ilvl w:val="0"/>
                <w:numId w:val="18"/>
              </w:numPr>
              <w:ind w:left="229" w:hanging="229"/>
            </w:pPr>
            <w:r w:rsidRPr="000D54A4">
              <w:t>Pricing should be same logic we currently use for container</w:t>
            </w:r>
          </w:p>
        </w:tc>
      </w:tr>
      <w:tr w:rsidR="002A6733" w:rsidRPr="004D04DC" w14:paraId="00B92D7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9F3DCCC" w14:textId="3F1D19AD" w:rsidR="00425538" w:rsidRDefault="00425538" w:rsidP="00204AD9">
            <w:pPr>
              <w:pStyle w:val="ListParagraph"/>
              <w:numPr>
                <w:ilvl w:val="0"/>
                <w:numId w:val="5"/>
              </w:numPr>
            </w:pPr>
          </w:p>
          <w:p w14:paraId="1A7FE7F9" w14:textId="2C9AB218" w:rsidR="002A6733" w:rsidRPr="00425538" w:rsidRDefault="00425538" w:rsidP="00425538">
            <w:r w:rsidRPr="00425538">
              <w:t>InfoPro</w:t>
            </w:r>
            <w:r w:rsidR="00994148">
              <w:t xml:space="preserve"> Integration</w:t>
            </w:r>
          </w:p>
        </w:tc>
        <w:tc>
          <w:tcPr>
            <w:tcW w:w="4950" w:type="dxa"/>
            <w:tcBorders>
              <w:top w:val="single" w:sz="4" w:space="0" w:color="auto"/>
              <w:left w:val="single" w:sz="4" w:space="0" w:color="auto"/>
              <w:bottom w:val="single" w:sz="4" w:space="0" w:color="auto"/>
              <w:right w:val="single" w:sz="4" w:space="0" w:color="auto"/>
            </w:tcBorders>
          </w:tcPr>
          <w:p w14:paraId="0D37FC4A" w14:textId="7B01A2BB" w:rsidR="000D54A4" w:rsidRPr="000D54A4" w:rsidRDefault="000D54A4" w:rsidP="00EC63CB">
            <w:pPr>
              <w:pStyle w:val="ListParagraph"/>
              <w:numPr>
                <w:ilvl w:val="0"/>
                <w:numId w:val="19"/>
              </w:numPr>
              <w:ind w:left="252" w:hanging="252"/>
            </w:pPr>
            <w:r w:rsidRPr="000D54A4">
              <w:t>Current filters cannot exclude containers &lt; 1 yard</w:t>
            </w:r>
            <w:r w:rsidR="00532924">
              <w:t xml:space="preserve"> (no change here: we do not filter out containers &lt; 1 yard, we just used to categorize them as Residential.  After this next release, we will categorize them as Commercial unless the container_cd is one of </w:t>
            </w:r>
            <w:r w:rsidR="00532924" w:rsidRPr="00532924">
              <w:t>RT,TV,RO,DI,IR,LU,SC,RE,HL,TL</w:t>
            </w:r>
            <w:r w:rsidR="00532924">
              <w:t xml:space="preserve"> in which case it will be Industrial)</w:t>
            </w:r>
          </w:p>
          <w:p w14:paraId="37F302A4" w14:textId="068594C9" w:rsidR="00D40630" w:rsidRPr="00EC63CB" w:rsidRDefault="00994148" w:rsidP="00EC63CB">
            <w:pPr>
              <w:pStyle w:val="ListParagraph"/>
              <w:numPr>
                <w:ilvl w:val="0"/>
                <w:numId w:val="19"/>
              </w:numPr>
              <w:ind w:left="229" w:hanging="229"/>
            </w:pPr>
            <w:r w:rsidRPr="000D54A4">
              <w:t xml:space="preserve">There should be few changes (if any) in the XML, but the IFP team may need to address the new data they will receive.  </w:t>
            </w:r>
          </w:p>
        </w:tc>
      </w:tr>
      <w:tr w:rsidR="008D5E5F" w:rsidRPr="004D04DC" w14:paraId="1E217AD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E5A3991" w14:textId="1B6C51DC" w:rsidR="008D5E5F" w:rsidRDefault="008D5E5F" w:rsidP="00204AD9">
            <w:pPr>
              <w:pStyle w:val="ListParagraph"/>
              <w:numPr>
                <w:ilvl w:val="0"/>
                <w:numId w:val="5"/>
              </w:numPr>
            </w:pPr>
            <w:r>
              <w:t>Zero yardage</w:t>
            </w:r>
          </w:p>
        </w:tc>
        <w:tc>
          <w:tcPr>
            <w:tcW w:w="4950" w:type="dxa"/>
            <w:tcBorders>
              <w:top w:val="single" w:sz="4" w:space="0" w:color="auto"/>
              <w:left w:val="single" w:sz="4" w:space="0" w:color="auto"/>
              <w:bottom w:val="single" w:sz="4" w:space="0" w:color="auto"/>
              <w:right w:val="single" w:sz="4" w:space="0" w:color="auto"/>
            </w:tcBorders>
          </w:tcPr>
          <w:p w14:paraId="565F392E" w14:textId="2F388E4F" w:rsidR="008D5E5F" w:rsidRPr="008D5E5F" w:rsidRDefault="008D5E5F" w:rsidP="008D5E5F">
            <w:pPr>
              <w:rPr>
                <w:color w:val="1F497D"/>
              </w:rPr>
            </w:pPr>
            <w:r w:rsidRPr="00B82458">
              <w:t>Load as Hand Pickup – ½ yard (Parts table may need something, no asset cost)</w:t>
            </w:r>
          </w:p>
        </w:tc>
      </w:tr>
      <w:tr w:rsidR="008D5E5F" w:rsidRPr="004D04DC"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CD323DD" w14:textId="1AFFF528" w:rsidR="008D5E5F" w:rsidRDefault="008D5E5F" w:rsidP="00204AD9">
            <w:pPr>
              <w:pStyle w:val="ListParagraph"/>
              <w:numPr>
                <w:ilvl w:val="0"/>
                <w:numId w:val="5"/>
              </w:numPr>
            </w:pPr>
            <w:r>
              <w:t>Misc</w:t>
            </w:r>
          </w:p>
        </w:tc>
        <w:tc>
          <w:tcPr>
            <w:tcW w:w="4950" w:type="dxa"/>
            <w:tcBorders>
              <w:top w:val="single" w:sz="4" w:space="0" w:color="auto"/>
              <w:left w:val="single" w:sz="4" w:space="0" w:color="auto"/>
              <w:bottom w:val="single" w:sz="4" w:space="0" w:color="auto"/>
              <w:right w:val="single" w:sz="4" w:space="0" w:color="auto"/>
            </w:tcBorders>
          </w:tcPr>
          <w:p w14:paraId="2B13AC47" w14:textId="686CBF85" w:rsidR="008D5E5F" w:rsidRDefault="008D5E5F" w:rsidP="008D5E5F">
            <w:pPr>
              <w:rPr>
                <w:color w:val="1F497D"/>
              </w:rPr>
            </w:pPr>
            <w:r w:rsidRPr="00876EF0">
              <w:t>Ensure 1.5 and 3 yard will be supported with SL</w:t>
            </w:r>
          </w:p>
        </w:tc>
      </w:tr>
    </w:tbl>
    <w:p w14:paraId="590CE5EB" w14:textId="77777777" w:rsidR="00F90955" w:rsidRDefault="00F90955" w:rsidP="00F90955">
      <w:pPr>
        <w:pStyle w:val="BodyText"/>
      </w:pPr>
    </w:p>
    <w:p w14:paraId="4F1CBD28" w14:textId="77777777" w:rsidR="00CB033E" w:rsidRDefault="00CB033E" w:rsidP="00CB033E">
      <w:pPr>
        <w:pStyle w:val="Heading1"/>
      </w:pPr>
      <w:bookmarkStart w:id="21" w:name="_Toc379450809"/>
      <w:bookmarkStart w:id="22" w:name="_Toc390274893"/>
      <w:r>
        <w:t>Assumptions</w:t>
      </w:r>
      <w:bookmarkEnd w:id="21"/>
      <w:bookmarkEnd w:id="22"/>
    </w:p>
    <w:p w14:paraId="280E1843" w14:textId="77777777" w:rsidR="005739B9" w:rsidRDefault="005739B9" w:rsidP="003778D5">
      <w:pPr>
        <w:pStyle w:val="BodyText"/>
      </w:pPr>
    </w:p>
    <w:p w14:paraId="247A68C3" w14:textId="70DB6F77" w:rsidR="005739B9" w:rsidRDefault="005739B9" w:rsidP="003778D5">
      <w:pPr>
        <w:pStyle w:val="BodyText"/>
      </w:pPr>
      <w:r>
        <w:t xml:space="preserve">The following items are </w:t>
      </w:r>
      <w:r w:rsidR="00B82458">
        <w:t>assumptions</w:t>
      </w:r>
      <w:r>
        <w:t>out of scope</w:t>
      </w:r>
    </w:p>
    <w:p w14:paraId="6F66ED1E" w14:textId="77777777" w:rsidR="005739B9" w:rsidRDefault="005739B9" w:rsidP="005739B9">
      <w:pPr>
        <w:pStyle w:val="ListParagraph"/>
        <w:numPr>
          <w:ilvl w:val="0"/>
          <w:numId w:val="21"/>
        </w:numPr>
      </w:pPr>
      <w:r>
        <w:t>The concept of a small_container_factors table for d</w:t>
      </w:r>
      <w:r w:rsidRPr="00425538">
        <w:t>ivision specific variables</w:t>
      </w:r>
      <w:r>
        <w:t xml:space="preserve"> </w:t>
      </w:r>
    </w:p>
    <w:p w14:paraId="4884D39E" w14:textId="77777777" w:rsidR="005739B9" w:rsidRDefault="005739B9" w:rsidP="005739B9">
      <w:pPr>
        <w:pStyle w:val="ListParagraph"/>
        <w:numPr>
          <w:ilvl w:val="0"/>
          <w:numId w:val="22"/>
        </w:numPr>
      </w:pPr>
      <w:r>
        <w:t>Cost</w:t>
      </w:r>
    </w:p>
    <w:p w14:paraId="398D104A" w14:textId="77777777" w:rsidR="005739B9" w:rsidRDefault="005739B9" w:rsidP="005739B9">
      <w:pPr>
        <w:pStyle w:val="ListParagraph"/>
        <w:numPr>
          <w:ilvl w:val="0"/>
          <w:numId w:val="22"/>
        </w:numPr>
      </w:pPr>
      <w:r w:rsidRPr="00425538">
        <w:t>Cart Multipliers (1</w:t>
      </w:r>
      <w:r w:rsidRPr="005739B9">
        <w:rPr>
          <w:vertAlign w:val="superscript"/>
        </w:rPr>
        <w:t>st</w:t>
      </w:r>
      <w:r w:rsidRPr="00425538">
        <w:t xml:space="preserve"> vs 2</w:t>
      </w:r>
      <w:r w:rsidRPr="005739B9">
        <w:rPr>
          <w:vertAlign w:val="superscript"/>
        </w:rPr>
        <w:t>nd</w:t>
      </w:r>
      <w:r w:rsidRPr="00425538">
        <w:t xml:space="preserve"> and subsequent lifts)</w:t>
      </w:r>
    </w:p>
    <w:p w14:paraId="3376713B" w14:textId="79702612" w:rsidR="005739B9" w:rsidRDefault="005739B9" w:rsidP="00B82458">
      <w:pPr>
        <w:pStyle w:val="ListParagraph"/>
        <w:numPr>
          <w:ilvl w:val="0"/>
          <w:numId w:val="22"/>
        </w:numPr>
      </w:pPr>
      <w:r w:rsidRPr="00425538">
        <w:t>ROI Factor (currently 6.5 for all)</w:t>
      </w:r>
    </w:p>
    <w:p w14:paraId="35AD7DD7" w14:textId="091DA82A" w:rsidR="005739B9" w:rsidRPr="005739B9" w:rsidRDefault="005739B9" w:rsidP="005739B9">
      <w:pPr>
        <w:pStyle w:val="ListParagraph"/>
        <w:numPr>
          <w:ilvl w:val="0"/>
          <w:numId w:val="20"/>
        </w:numPr>
        <w:ind w:left="720"/>
      </w:pPr>
      <w:r w:rsidRPr="005739B9">
        <w:rPr>
          <w:color w:val="000000"/>
        </w:rPr>
        <w:t>Safety cost with driver leaving the truck</w:t>
      </w:r>
    </w:p>
    <w:p w14:paraId="0711B512" w14:textId="133CB92C" w:rsidR="005739B9" w:rsidRDefault="00BF2246" w:rsidP="00093391">
      <w:pPr>
        <w:pStyle w:val="ListParagraph"/>
        <w:numPr>
          <w:ilvl w:val="0"/>
          <w:numId w:val="20"/>
        </w:numPr>
        <w:ind w:left="720"/>
      </w:pPr>
      <w:r>
        <w:t xml:space="preserve">The exercise of updating the </w:t>
      </w:r>
      <w:r w:rsidR="009F6500">
        <w:t xml:space="preserve">configuration templates </w:t>
      </w:r>
      <w:r>
        <w:t>will need to be performed by the divisions.</w:t>
      </w:r>
    </w:p>
    <w:p w14:paraId="47971680" w14:textId="352D87B2" w:rsidR="009F6500" w:rsidRDefault="009F6500" w:rsidP="00093391">
      <w:pPr>
        <w:pStyle w:val="ListParagraph"/>
        <w:numPr>
          <w:ilvl w:val="0"/>
          <w:numId w:val="20"/>
        </w:numPr>
        <w:ind w:left="720"/>
      </w:pPr>
      <w:r>
        <w:t xml:space="preserve">Changes to trucks data table to incorporate multipliers or time adjustments for carts on the basis of truck type (Operations suggested that the primary differential in service times is determined by the </w:t>
      </w:r>
      <w:r>
        <w:lastRenderedPageBreak/>
        <w:t>type of truck and any technology modifications to truck).  Nonetheless, for divisions where carts are predominate, it is assumed that such factors are already included in their division stats.</w:t>
      </w:r>
    </w:p>
    <w:p w14:paraId="0E00A7A2" w14:textId="2892A33C" w:rsidR="00B82458" w:rsidRDefault="00B82458" w:rsidP="00093391">
      <w:pPr>
        <w:pStyle w:val="ListParagraph"/>
        <w:numPr>
          <w:ilvl w:val="0"/>
          <w:numId w:val="20"/>
        </w:numPr>
        <w:ind w:left="720"/>
      </w:pPr>
      <w:r>
        <w:t>Container sizes not included in BFR001 will not be supported or translated into a different size.</w:t>
      </w:r>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0C009ED8" w:rsidR="00D43756" w:rsidRPr="00D43756" w:rsidRDefault="00D43756" w:rsidP="00093391">
      <w:pPr>
        <w:pStyle w:val="ListParagraph"/>
        <w:numPr>
          <w:ilvl w:val="0"/>
          <w:numId w:val="20"/>
        </w:numPr>
        <w:ind w:left="720"/>
      </w:pPr>
      <w:r w:rsidRPr="00D43756">
        <w:t>The cart sizes outlined in BFR001 will account for just over 98% of carts currently deployed.  Note that the specific cart code is dependent on waste type selection at a minimum.  As part of the process, we’ll need to make sure that any supported cart types (e.g., CA, RC and SL) have parts data fully populated (TDR-001).</w:t>
      </w:r>
    </w:p>
    <w:p w14:paraId="0B3D0389" w14:textId="77777777" w:rsidR="005739B9" w:rsidRPr="003778D5" w:rsidRDefault="005739B9" w:rsidP="005739B9">
      <w:pPr>
        <w:pStyle w:val="BodyText"/>
      </w:pPr>
    </w:p>
    <w:p w14:paraId="3CA00803" w14:textId="2CF1881C" w:rsidR="00A159AB" w:rsidRDefault="00A159AB" w:rsidP="00CB033E">
      <w:pPr>
        <w:pStyle w:val="Heading1"/>
      </w:pPr>
      <w:bookmarkStart w:id="23" w:name="_Toc390274894"/>
      <w:r>
        <w:t>Technical Design</w:t>
      </w:r>
      <w:bookmarkEnd w:id="23"/>
    </w:p>
    <w:p w14:paraId="3CA00804" w14:textId="77777777" w:rsidR="00A159AB" w:rsidRDefault="00A159AB" w:rsidP="00A159AB">
      <w:pPr>
        <w:pStyle w:val="Heading2"/>
        <w:jc w:val="both"/>
      </w:pPr>
      <w:bookmarkStart w:id="24" w:name="_Toc390274895"/>
      <w:r>
        <w:t>Referenced Documents</w:t>
      </w:r>
      <w:bookmarkEnd w:id="24"/>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5" w:name="_Toc390274898"/>
      <w:r>
        <w:t>Process Flow</w:t>
      </w:r>
      <w:bookmarkEnd w:id="25"/>
      <w:r>
        <w:t xml:space="preserve"> and Mock Ups</w:t>
      </w:r>
    </w:p>
    <w:p w14:paraId="2AB6AE76" w14:textId="7D168248" w:rsidR="001C3DEF" w:rsidRDefault="00EC63CB" w:rsidP="00EC63CB">
      <w:pPr>
        <w:pStyle w:val="BodyText"/>
        <w:ind w:left="576"/>
      </w:pPr>
      <w:r>
        <w:t>Use current container process flow and logic</w:t>
      </w:r>
    </w:p>
    <w:p w14:paraId="0299CADC" w14:textId="2E4C21D3" w:rsidR="00994148" w:rsidRDefault="00AD4A0D" w:rsidP="00B82458">
      <w:pPr>
        <w:pStyle w:val="BodyText"/>
        <w:ind w:left="576"/>
      </w:pPr>
      <w:r>
        <w:t>Mockups</w:t>
      </w:r>
      <w:r w:rsidR="00B82458">
        <w:t xml:space="preserve"> </w:t>
      </w:r>
      <w:r>
        <w:t>hopefully to come soon…</w:t>
      </w:r>
      <w:bookmarkStart w:id="26" w:name="_GoBack"/>
      <w:bookmarkEnd w:id="26"/>
    </w:p>
    <w:p w14:paraId="47E65A81" w14:textId="77777777" w:rsidR="00B82458" w:rsidRPr="001C3DEF" w:rsidRDefault="00B82458" w:rsidP="00B82458">
      <w:pPr>
        <w:pStyle w:val="BodyText"/>
        <w:ind w:left="576"/>
      </w:pPr>
    </w:p>
    <w:p w14:paraId="6455F030" w14:textId="2D45204D" w:rsidR="00F11618" w:rsidRDefault="00A159AB" w:rsidP="00F11618">
      <w:pPr>
        <w:pStyle w:val="Heading2"/>
        <w:jc w:val="both"/>
      </w:pPr>
      <w:bookmarkStart w:id="27" w:name="_Toc390274899"/>
      <w:r>
        <w:t>Functional</w:t>
      </w:r>
      <w:r w:rsidR="00A910C9">
        <w:t xml:space="preserve"> Logic</w:t>
      </w:r>
      <w:bookmarkEnd w:id="27"/>
      <w:r w:rsidR="00A910C9">
        <w:t xml:space="preserve"> </w:t>
      </w:r>
    </w:p>
    <w:p w14:paraId="39F71A06" w14:textId="5A6FDCBF" w:rsidR="005E0E02" w:rsidRPr="007340F2" w:rsidRDefault="00EC63CB" w:rsidP="00EC63CB">
      <w:pPr>
        <w:pStyle w:val="BodyText"/>
        <w:ind w:left="576"/>
      </w:pPr>
      <w:r>
        <w:t>Use current container functional and pricing logic</w:t>
      </w:r>
      <w:r w:rsidR="005E0E02">
        <w:t xml:space="preserve">           </w:t>
      </w:r>
    </w:p>
    <w:p w14:paraId="2FE2CD89" w14:textId="77777777" w:rsidR="007410EA" w:rsidRDefault="007410EA" w:rsidP="00F11618">
      <w:pPr>
        <w:pStyle w:val="BodyText"/>
      </w:pPr>
    </w:p>
    <w:p w14:paraId="3CA0081D" w14:textId="77777777" w:rsidR="00A910C9" w:rsidRDefault="00A910C9" w:rsidP="00A910C9">
      <w:pPr>
        <w:pStyle w:val="Heading2"/>
        <w:jc w:val="both"/>
      </w:pPr>
      <w:bookmarkStart w:id="28" w:name="_Toc390274903"/>
      <w:r>
        <w:t>Data Sources &amp; Mapping</w:t>
      </w:r>
      <w:bookmarkEnd w:id="28"/>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766B49B4" w:rsidR="00A910C9" w:rsidRDefault="00734AE4" w:rsidP="00A910C9">
      <w:pPr>
        <w:pStyle w:val="Heading2"/>
        <w:jc w:val="both"/>
      </w:pPr>
      <w:bookmarkStart w:id="29" w:name="_Toc390274907"/>
      <w:r>
        <w:t xml:space="preserve">InfoPro </w:t>
      </w:r>
      <w:r w:rsidR="00A910C9">
        <w:t>Interface</w:t>
      </w:r>
      <w:bookmarkEnd w:id="29"/>
    </w:p>
    <w:p w14:paraId="3CA00897" w14:textId="6D023F42" w:rsidR="00A910C9" w:rsidRDefault="00876EF0" w:rsidP="00876EF0">
      <w:pPr>
        <w:ind w:left="576"/>
        <w:jc w:val="both"/>
      </w:pPr>
      <w:r>
        <w:t xml:space="preserve">Per email from Candace to Brittany </w:t>
      </w:r>
      <w:r w:rsidRPr="00876EF0">
        <w:t xml:space="preserve">on 9/29/14, InfoPro </w:t>
      </w:r>
      <w:r>
        <w:t xml:space="preserve">developers </w:t>
      </w:r>
      <w:r w:rsidRPr="00876EF0">
        <w:t>confirm</w:t>
      </w:r>
      <w:r>
        <w:t>ed</w:t>
      </w:r>
      <w:r w:rsidRPr="00876EF0">
        <w:t xml:space="preserve"> as long as the container type/size information comes to us in the existing XML tags there should be no issue on our side</w:t>
      </w:r>
    </w:p>
    <w:p w14:paraId="263E4206" w14:textId="690254F1" w:rsidR="006D7B32" w:rsidRDefault="00C539DD" w:rsidP="00E305F7">
      <w:pPr>
        <w:pStyle w:val="Heading1"/>
        <w:numPr>
          <w:ilvl w:val="0"/>
          <w:numId w:val="4"/>
        </w:numPr>
        <w:jc w:val="both"/>
      </w:pPr>
      <w:bookmarkStart w:id="30" w:name="_Toc390274908"/>
      <w:r>
        <w:t>Report Changes</w:t>
      </w:r>
      <w:bookmarkEnd w:id="30"/>
    </w:p>
    <w:p w14:paraId="6A09C085" w14:textId="132B8D2E" w:rsidR="00050320" w:rsidRPr="00050320" w:rsidRDefault="00050320" w:rsidP="00050320">
      <w:pPr>
        <w:pStyle w:val="BodyText"/>
      </w:pPr>
      <w:r>
        <w:t>No Changes</w:t>
      </w:r>
    </w:p>
    <w:p w14:paraId="3CA00899" w14:textId="3B88BADD" w:rsidR="00A910C9" w:rsidRDefault="00A910C9" w:rsidP="00A910C9">
      <w:pPr>
        <w:pStyle w:val="Heading1"/>
        <w:jc w:val="both"/>
      </w:pPr>
      <w:bookmarkStart w:id="31" w:name="_Toc390274909"/>
      <w:r>
        <w:t>Technical Architecture</w:t>
      </w:r>
      <w:bookmarkEnd w:id="31"/>
    </w:p>
    <w:p w14:paraId="3CA0089A" w14:textId="77777777" w:rsidR="00A910C9" w:rsidRDefault="00A910C9" w:rsidP="00A910C9">
      <w:pPr>
        <w:pStyle w:val="Heading2"/>
        <w:jc w:val="both"/>
      </w:pPr>
      <w:bookmarkStart w:id="32" w:name="_Toc390274910"/>
      <w:r>
        <w:t>Infrastructure Considerations</w:t>
      </w:r>
      <w:bookmarkEnd w:id="32"/>
    </w:p>
    <w:p w14:paraId="3CA0089B" w14:textId="77777777" w:rsidR="00A910C9" w:rsidRDefault="00A910C9" w:rsidP="00A910C9">
      <w:pPr>
        <w:jc w:val="both"/>
      </w:pPr>
      <w:r>
        <w:t>No changes to infrastructure.</w:t>
      </w:r>
    </w:p>
    <w:p w14:paraId="3CA0089C" w14:textId="77777777" w:rsidR="00A910C9" w:rsidRDefault="00A910C9" w:rsidP="00A910C9">
      <w:pPr>
        <w:pStyle w:val="Heading2"/>
        <w:jc w:val="both"/>
      </w:pPr>
      <w:bookmarkStart w:id="33" w:name="_Toc390274911"/>
      <w:r>
        <w:t>Data Retention</w:t>
      </w:r>
      <w:bookmarkEnd w:id="33"/>
    </w:p>
    <w:p w14:paraId="3CA0089D" w14:textId="77777777" w:rsidR="00A910C9" w:rsidRDefault="00A910C9" w:rsidP="00A910C9">
      <w:pPr>
        <w:jc w:val="both"/>
      </w:pPr>
      <w:r>
        <w:t>No changes to data retention.</w:t>
      </w:r>
    </w:p>
    <w:p w14:paraId="3CA0089E" w14:textId="77777777" w:rsidR="00A910C9" w:rsidRDefault="00A910C9" w:rsidP="00A910C9">
      <w:pPr>
        <w:pStyle w:val="Heading2"/>
        <w:jc w:val="both"/>
      </w:pPr>
      <w:bookmarkStart w:id="34" w:name="_Toc390274912"/>
      <w:r>
        <w:t>High Availability</w:t>
      </w:r>
      <w:bookmarkEnd w:id="34"/>
    </w:p>
    <w:p w14:paraId="3CA0089F" w14:textId="77777777" w:rsidR="00A910C9" w:rsidRDefault="00A910C9" w:rsidP="00A910C9">
      <w:pPr>
        <w:jc w:val="both"/>
      </w:pPr>
      <w:r>
        <w:t>Not Applicable.</w:t>
      </w:r>
    </w:p>
    <w:p w14:paraId="3CA008A0" w14:textId="77777777" w:rsidR="00A910C9" w:rsidRDefault="00A910C9" w:rsidP="00A910C9">
      <w:pPr>
        <w:pStyle w:val="Heading2"/>
        <w:jc w:val="both"/>
      </w:pPr>
      <w:bookmarkStart w:id="35" w:name="_Toc390274913"/>
      <w:r>
        <w:lastRenderedPageBreak/>
        <w:t>Backup, Rollback and Recover</w:t>
      </w:r>
      <w:bookmarkEnd w:id="35"/>
    </w:p>
    <w:p w14:paraId="3CA008A1" w14:textId="77777777" w:rsidR="00A910C9" w:rsidRDefault="00A910C9" w:rsidP="00A910C9">
      <w:pPr>
        <w:jc w:val="both"/>
      </w:pPr>
      <w:r>
        <w:t>No changes to backup and recovery procedures.</w:t>
      </w:r>
    </w:p>
    <w:p w14:paraId="3CA008A2" w14:textId="77777777" w:rsidR="00A910C9" w:rsidRDefault="00A910C9" w:rsidP="00A910C9">
      <w:pPr>
        <w:pStyle w:val="Heading1"/>
        <w:jc w:val="both"/>
      </w:pPr>
      <w:bookmarkStart w:id="36" w:name="_Toc390274914"/>
      <w:r>
        <w:t>Other Design Specifications</w:t>
      </w:r>
      <w:bookmarkEnd w:id="36"/>
      <w:r>
        <w:t xml:space="preserve"> </w:t>
      </w:r>
    </w:p>
    <w:p w14:paraId="3CA008A3" w14:textId="77777777" w:rsidR="00A910C9" w:rsidRDefault="00A910C9" w:rsidP="00A910C9">
      <w:pPr>
        <w:pStyle w:val="Heading2"/>
        <w:jc w:val="both"/>
      </w:pPr>
      <w:bookmarkStart w:id="37" w:name="_Toc390274915"/>
      <w:r>
        <w:t>Build/Configure Standards</w:t>
      </w:r>
      <w:bookmarkEnd w:id="37"/>
    </w:p>
    <w:p w14:paraId="3CA008A4" w14:textId="2E5721F8" w:rsidR="00A910C9" w:rsidRDefault="00A910C9" w:rsidP="00A910C9">
      <w:pPr>
        <w:jc w:val="both"/>
      </w:pPr>
      <w:r>
        <w:t xml:space="preserve">Reference Aldon procedures for </w:t>
      </w:r>
      <w:r w:rsidR="00050320">
        <w:t>Capture</w:t>
      </w:r>
      <w:r>
        <w:t>.</w:t>
      </w:r>
    </w:p>
    <w:p w14:paraId="3CA008A5" w14:textId="77777777" w:rsidR="00A910C9" w:rsidRDefault="00A910C9" w:rsidP="00A910C9">
      <w:pPr>
        <w:pStyle w:val="Heading2"/>
        <w:jc w:val="both"/>
        <w:rPr>
          <w:bCs/>
          <w:iCs/>
          <w:kern w:val="0"/>
        </w:rPr>
      </w:pPr>
      <w:bookmarkStart w:id="38" w:name="_Toc390274916"/>
      <w:r>
        <w:rPr>
          <w:bCs/>
          <w:iCs/>
          <w:kern w:val="0"/>
        </w:rPr>
        <w:t>Policies and Procedures</w:t>
      </w:r>
      <w:bookmarkEnd w:id="38"/>
    </w:p>
    <w:p w14:paraId="3CA008A6" w14:textId="77777777" w:rsidR="00A910C9" w:rsidRDefault="00A910C9" w:rsidP="00A910C9">
      <w:pPr>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39" w:name="_Toc390274917"/>
      <w:r w:rsidRPr="005B22F2">
        <w:rPr>
          <w:bCs/>
          <w:iCs/>
          <w:kern w:val="0"/>
        </w:rPr>
        <w:t>Security De</w:t>
      </w:r>
      <w:r w:rsidR="005726AE" w:rsidRPr="005B22F2">
        <w:rPr>
          <w:bCs/>
          <w:iCs/>
          <w:kern w:val="0"/>
        </w:rPr>
        <w:t>sign</w:t>
      </w:r>
      <w:bookmarkEnd w:id="39"/>
    </w:p>
    <w:p w14:paraId="3CA008A8" w14:textId="77777777" w:rsidR="00A910C9" w:rsidRPr="005B22F2" w:rsidRDefault="00A910C9" w:rsidP="00A910C9">
      <w:pPr>
        <w:pStyle w:val="Heading3"/>
        <w:jc w:val="both"/>
      </w:pPr>
      <w:bookmarkStart w:id="40" w:name="_Toc390274918"/>
      <w:r w:rsidRPr="005B22F2">
        <w:t>New or Existing Security</w:t>
      </w:r>
      <w:bookmarkEnd w:id="40"/>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41" w:name="_Toc390274919"/>
      <w:r>
        <w:t>Hierarchal Data Access</w:t>
      </w:r>
      <w:bookmarkEnd w:id="41"/>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42" w:name="_Toc390274920"/>
      <w:r>
        <w:t>Infrastructure</w:t>
      </w:r>
      <w:bookmarkEnd w:id="42"/>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43" w:name="_Toc390274921"/>
      <w:r>
        <w:t>Environmental</w:t>
      </w:r>
      <w:bookmarkEnd w:id="43"/>
    </w:p>
    <w:p w14:paraId="6577AC6F" w14:textId="0F2C0566" w:rsidR="00833A4B" w:rsidRDefault="00A910C9" w:rsidP="000C16EB">
      <w:pPr>
        <w:jc w:val="both"/>
        <w:rPr>
          <w:rFonts w:ascii="Arial" w:hAnsi="Arial"/>
          <w:b/>
          <w:kern w:val="28"/>
          <w:sz w:val="36"/>
        </w:rPr>
      </w:pPr>
      <w:r>
        <w:t>No Additional environmental requirements.</w:t>
      </w:r>
    </w:p>
    <w:p w14:paraId="3CA008B4" w14:textId="77777777" w:rsidR="00A910C9" w:rsidRDefault="00A910C9" w:rsidP="00A910C9">
      <w:pPr>
        <w:pStyle w:val="Heading1"/>
        <w:jc w:val="both"/>
      </w:pPr>
      <w:bookmarkStart w:id="44" w:name="_Toc390274922"/>
      <w:r>
        <w:t>Appendix</w:t>
      </w:r>
      <w:bookmarkEnd w:id="44"/>
      <w:r>
        <w:t xml:space="preserve"> </w:t>
      </w:r>
    </w:p>
    <w:bookmarkEnd w:id="18"/>
    <w:bookmarkEnd w:id="19"/>
    <w:bookmarkEnd w:id="20"/>
    <w:p w14:paraId="3CA008B5" w14:textId="3E4566AD" w:rsidR="00A910C9" w:rsidRDefault="00A910C9" w:rsidP="00A910C9">
      <w:pPr>
        <w:jc w:val="both"/>
      </w:pPr>
    </w:p>
    <w:sectPr w:rsidR="00A910C9"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208A2" w14:textId="77777777" w:rsidR="00D74848" w:rsidRDefault="00D74848">
      <w:r>
        <w:separator/>
      </w:r>
    </w:p>
  </w:endnote>
  <w:endnote w:type="continuationSeparator" w:id="0">
    <w:p w14:paraId="744058B0" w14:textId="77777777" w:rsidR="00D74848" w:rsidRDefault="00D74848">
      <w:r>
        <w:continuationSeparator/>
      </w:r>
    </w:p>
  </w:endnote>
  <w:endnote w:type="continuationNotice" w:id="1">
    <w:p w14:paraId="3E45C409" w14:textId="77777777" w:rsidR="00D74848" w:rsidRDefault="00D74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481D0A4" w:rsidR="00E50C89" w:rsidRDefault="00D74848"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Commercial Carts</w:t>
        </w:r>
      </w:sdtContent>
    </w:sdt>
    <w:r w:rsidR="00E50C89">
      <w:tab/>
    </w:r>
    <w:r w:rsidR="00E50C89">
      <w:fldChar w:fldCharType="begin"/>
    </w:r>
    <w:r w:rsidR="00E50C89">
      <w:instrText xml:space="preserve"> DATE  \@ "M/d/yyyy h:mm:ss am/pm" \l  \* MERGEFORMAT </w:instrText>
    </w:r>
    <w:r w:rsidR="00E50C89">
      <w:fldChar w:fldCharType="separate"/>
    </w:r>
    <w:r w:rsidR="00AD4A0D">
      <w:rPr>
        <w:noProof/>
      </w:rPr>
      <w:t>9/29/2014 10:43:24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AD4A0D">
      <w:rPr>
        <w:rStyle w:val="PageNumber"/>
        <w:rFonts w:ascii="Arial" w:hAnsi="Arial" w:cs="Arial"/>
        <w:b w:val="0"/>
        <w:i/>
        <w:noProof/>
        <w:sz w:val="16"/>
        <w:szCs w:val="16"/>
      </w:rPr>
      <w:t>8</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3ED80" w14:textId="77777777" w:rsidR="00D74848" w:rsidRDefault="00D74848">
      <w:r>
        <w:separator/>
      </w:r>
    </w:p>
  </w:footnote>
  <w:footnote w:type="continuationSeparator" w:id="0">
    <w:p w14:paraId="17F476CD" w14:textId="77777777" w:rsidR="00D74848" w:rsidRDefault="00D74848">
      <w:r>
        <w:continuationSeparator/>
      </w:r>
    </w:p>
  </w:footnote>
  <w:footnote w:type="continuationNotice" w:id="1">
    <w:p w14:paraId="41DBEA72" w14:textId="77777777" w:rsidR="00D74848" w:rsidRDefault="00D748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1">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2"/>
  </w:num>
  <w:num w:numId="4">
    <w:abstractNumId w:val="11"/>
  </w:num>
  <w:num w:numId="5">
    <w:abstractNumId w:val="19"/>
  </w:num>
  <w:num w:numId="6">
    <w:abstractNumId w:val="21"/>
  </w:num>
  <w:num w:numId="7">
    <w:abstractNumId w:val="20"/>
  </w:num>
  <w:num w:numId="8">
    <w:abstractNumId w:val="22"/>
  </w:num>
  <w:num w:numId="9">
    <w:abstractNumId w:val="11"/>
    <w:lvlOverride w:ilvl="0">
      <w:startOverride w:val="3"/>
    </w:lvlOverride>
    <w:lvlOverride w:ilvl="1">
      <w:startOverride w:val="3"/>
    </w:lvlOverride>
    <w:lvlOverride w:ilvl="2">
      <w:startOverride w:val="1"/>
    </w:lvlOverride>
    <w:lvlOverride w:ilvl="3">
      <w:startOverride w:val="2"/>
    </w:lvlOverride>
  </w:num>
  <w:num w:numId="10">
    <w:abstractNumId w:val="11"/>
  </w:num>
  <w:num w:numId="11">
    <w:abstractNumId w:val="11"/>
    <w:lvlOverride w:ilvl="0">
      <w:startOverride w:val="3"/>
    </w:lvlOverride>
    <w:lvlOverride w:ilvl="1">
      <w:startOverride w:val="3"/>
    </w:lvlOverride>
    <w:lvlOverride w:ilvl="2">
      <w:startOverride w:val="2"/>
    </w:lvlOverride>
    <w:lvlOverride w:ilvl="3">
      <w:startOverride w:val="2"/>
    </w:lvlOverride>
  </w:num>
  <w:num w:numId="12">
    <w:abstractNumId w:val="11"/>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5"/>
  </w:num>
  <w:num w:numId="17">
    <w:abstractNumId w:val="8"/>
  </w:num>
  <w:num w:numId="18">
    <w:abstractNumId w:val="13"/>
  </w:num>
  <w:num w:numId="19">
    <w:abstractNumId w:val="16"/>
  </w:num>
  <w:num w:numId="20">
    <w:abstractNumId w:val="18"/>
  </w:num>
  <w:num w:numId="21">
    <w:abstractNumId w:val="14"/>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FD"/>
    <w:rsid w:val="008C6D22"/>
    <w:rsid w:val="008C6ECA"/>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5517"/>
    <w:rsid w:val="009A5FF9"/>
    <w:rsid w:val="009B2D74"/>
    <w:rsid w:val="009B7235"/>
    <w:rsid w:val="009C193D"/>
    <w:rsid w:val="009C40B0"/>
    <w:rsid w:val="009F0457"/>
    <w:rsid w:val="009F329D"/>
    <w:rsid w:val="009F5D21"/>
    <w:rsid w:val="009F6500"/>
    <w:rsid w:val="00A030DD"/>
    <w:rsid w:val="00A05117"/>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57FF"/>
    <w:rsid w:val="00DA192E"/>
    <w:rsid w:val="00DA3E49"/>
    <w:rsid w:val="00DA5C48"/>
    <w:rsid w:val="00DB3E98"/>
    <w:rsid w:val="00DC73E6"/>
    <w:rsid w:val="00DD1D74"/>
    <w:rsid w:val="00DD3C08"/>
    <w:rsid w:val="00DD639F"/>
    <w:rsid w:val="00DE0DA5"/>
    <w:rsid w:val="00DE75B5"/>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1A31BA-BC88-4C26-BE3F-4CB01BD61AC8}"/>
</file>

<file path=customXml/itemProps2.xml><?xml version="1.0" encoding="utf-8"?>
<ds:datastoreItem xmlns:ds="http://schemas.openxmlformats.org/officeDocument/2006/customXml" ds:itemID="{E5265DE5-3E8E-4120-8280-8EC419E03148}"/>
</file>

<file path=customXml/itemProps3.xml><?xml version="1.0" encoding="utf-8"?>
<ds:datastoreItem xmlns:ds="http://schemas.openxmlformats.org/officeDocument/2006/customXml" ds:itemID="{3CBB50F0-8F85-42BF-AC23-9DA2DC66E259}"/>
</file>

<file path=customXml/itemProps4.xml><?xml version="1.0" encoding="utf-8"?>
<ds:datastoreItem xmlns:ds="http://schemas.openxmlformats.org/officeDocument/2006/customXml" ds:itemID="{AC63CB39-103E-4B9C-A1FD-7B2F01114131}"/>
</file>

<file path=docProps/app.xml><?xml version="1.0" encoding="utf-8"?>
<Properties xmlns="http://schemas.openxmlformats.org/officeDocument/2006/extended-properties" xmlns:vt="http://schemas.openxmlformats.org/officeDocument/2006/docPropsVTypes">
  <Template>Normal</Template>
  <TotalTime>490</TotalTime>
  <Pages>7</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12</cp:revision>
  <cp:lastPrinted>2012-12-07T17:42:00Z</cp:lastPrinted>
  <dcterms:created xsi:type="dcterms:W3CDTF">2014-09-25T21:47:00Z</dcterms:created>
  <dcterms:modified xsi:type="dcterms:W3CDTF">2014-09-30T05:45:00Z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