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bookmarkStart w:id="0" w:name="_GoBack"/>
      <w:bookmarkEnd w:id="0"/>
    </w:p>
    <w:p w:rsidR="00AA2584" w:rsidRDefault="00604FC3" w:rsidP="00510A21">
      <w:pPr>
        <w:jc w:val="center"/>
        <w:rPr>
          <w:rFonts w:asciiTheme="minorHAnsi" w:hAnsiTheme="minorHAnsi"/>
          <w:b/>
          <w:kern w:val="28"/>
          <w:sz w:val="40"/>
        </w:rPr>
      </w:pPr>
      <w:r>
        <w:rPr>
          <w:rFonts w:asciiTheme="minorHAnsi" w:hAnsiTheme="minorHAnsi"/>
          <w:b/>
          <w:kern w:val="28"/>
          <w:sz w:val="40"/>
        </w:rPr>
        <w:t xml:space="preserve">Large Container Disposal Changes: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B4CC9" w:rsidP="00510A21">
      <w:pPr>
        <w:jc w:val="center"/>
        <w:rPr>
          <w:rFonts w:asciiTheme="minorHAnsi" w:hAnsiTheme="minorHAnsi"/>
          <w:b/>
          <w:kern w:val="28"/>
          <w:sz w:val="40"/>
        </w:rPr>
      </w:pPr>
      <w:r>
        <w:rPr>
          <w:rFonts w:asciiTheme="minorHAnsi" w:hAnsiTheme="minorHAnsi"/>
          <w:b/>
          <w:kern w:val="28"/>
          <w:sz w:val="40"/>
        </w:rPr>
        <w:t>CR 13632</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A6FF2" w:rsidRDefault="000A6FF2" w:rsidP="00A910C9">
                            <w:pPr>
                              <w:jc w:val="center"/>
                              <w:rPr>
                                <w:rFonts w:ascii="Arial" w:hAnsi="Arial" w:cs="Arial"/>
                              </w:rPr>
                            </w:pPr>
                          </w:p>
                          <w:p w:rsidR="000A6FF2" w:rsidRDefault="000A6FF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A6FF2" w:rsidRDefault="000A6FF2" w:rsidP="00A910C9">
                            <w:pPr>
                              <w:jc w:val="center"/>
                              <w:rPr>
                                <w:rFonts w:ascii="Arial" w:hAnsi="Arial" w:cs="Arial"/>
                              </w:rPr>
                            </w:pPr>
                            <w:r>
                              <w:rPr>
                                <w:rFonts w:ascii="Arial" w:hAnsi="Arial" w:cs="Arial"/>
                              </w:rPr>
                              <w:t>/</w:t>
                            </w:r>
                          </w:p>
                          <w:p w:rsidR="000A6FF2" w:rsidRDefault="000A6FF2" w:rsidP="00A910C9">
                            <w:pPr>
                              <w:jc w:val="center"/>
                              <w:rPr>
                                <w:rFonts w:ascii="Arial" w:hAnsi="Arial" w:cs="Arial"/>
                              </w:rPr>
                            </w:pPr>
                            <w:proofErr w:type="gramStart"/>
                            <w:r>
                              <w:rPr>
                                <w:rFonts w:ascii="Arial" w:hAnsi="Arial" w:cs="Arial"/>
                              </w:rPr>
                              <w:t>© Copyright 2012, Republic Services Inc. - All rights reserved.</w:t>
                            </w:r>
                            <w:proofErr w:type="gramEnd"/>
                          </w:p>
                          <w:p w:rsidR="000A6FF2" w:rsidRDefault="000A6FF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A6FF2" w:rsidRDefault="000A6FF2" w:rsidP="00A910C9">
                      <w:pPr>
                        <w:jc w:val="center"/>
                        <w:rPr>
                          <w:rFonts w:ascii="Arial" w:hAnsi="Arial" w:cs="Arial"/>
                        </w:rPr>
                      </w:pPr>
                    </w:p>
                    <w:p w:rsidR="000A6FF2" w:rsidRDefault="000A6FF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A6FF2" w:rsidRDefault="000A6FF2" w:rsidP="00A910C9">
                      <w:pPr>
                        <w:jc w:val="center"/>
                        <w:rPr>
                          <w:rFonts w:ascii="Arial" w:hAnsi="Arial" w:cs="Arial"/>
                        </w:rPr>
                      </w:pPr>
                      <w:r>
                        <w:rPr>
                          <w:rFonts w:ascii="Arial" w:hAnsi="Arial" w:cs="Arial"/>
                        </w:rPr>
                        <w:t>/</w:t>
                      </w:r>
                    </w:p>
                    <w:p w:rsidR="000A6FF2" w:rsidRDefault="000A6FF2" w:rsidP="00A910C9">
                      <w:pPr>
                        <w:jc w:val="center"/>
                        <w:rPr>
                          <w:rFonts w:ascii="Arial" w:hAnsi="Arial" w:cs="Arial"/>
                        </w:rPr>
                      </w:pPr>
                      <w:proofErr w:type="gramStart"/>
                      <w:r>
                        <w:rPr>
                          <w:rFonts w:ascii="Arial" w:hAnsi="Arial" w:cs="Arial"/>
                        </w:rPr>
                        <w:t>© Copyright 2012, Republic Services Inc. - All rights reserved.</w:t>
                      </w:r>
                      <w:proofErr w:type="gramEnd"/>
                    </w:p>
                    <w:p w:rsidR="000A6FF2" w:rsidRDefault="000A6FF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16435161"/>
      <w:bookmarkEnd w:id="1"/>
      <w:bookmarkEnd w:id="2"/>
      <w:bookmarkEnd w:id="3"/>
      <w:bookmarkEnd w:id="4"/>
      <w:bookmarkEnd w:id="5"/>
      <w:bookmarkEnd w:id="6"/>
      <w:r w:rsidRPr="006C54CB">
        <w:rPr>
          <w:rFonts w:asciiTheme="minorHAnsi" w:hAnsiTheme="minorHAnsi"/>
        </w:rPr>
        <w:lastRenderedPageBreak/>
        <w:t>Business Requirements</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6435162"/>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2" w:name="_Toc342757861"/>
      <w:bookmarkStart w:id="13" w:name="_Toc346297769"/>
      <w:bookmarkStart w:id="14" w:name="_Toc404134499"/>
      <w:bookmarkStart w:id="15" w:name="_Toc416435163"/>
      <w:r w:rsidRPr="006C54CB">
        <w:rPr>
          <w:rFonts w:asciiTheme="minorHAnsi" w:hAnsiTheme="minorHAnsi"/>
        </w:rPr>
        <w:t>Business Functional Requirements</w:t>
      </w:r>
      <w:r w:rsidR="00F040D7" w:rsidRPr="006C54CB">
        <w:rPr>
          <w:rFonts w:asciiTheme="minorHAnsi" w:hAnsiTheme="minorHAnsi"/>
        </w:rPr>
        <w:t xml:space="preserve"> / Configuration</w:t>
      </w:r>
      <w:bookmarkEnd w:id="15"/>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w:t>
      </w:r>
      <w:proofErr w:type="gramStart"/>
      <w:r w:rsidRPr="000A6FF2">
        <w:rPr>
          <w:rFonts w:asciiTheme="minorHAnsi" w:hAnsiTheme="minorHAnsi" w:cstheme="minorHAnsi"/>
        </w:rPr>
        <w:t>The</w:t>
      </w:r>
      <w:proofErr w:type="gramEnd"/>
      <w:r w:rsidRPr="000A6FF2">
        <w:rPr>
          <w:rFonts w:asciiTheme="minorHAnsi" w:hAnsiTheme="minorHAnsi" w:cstheme="minorHAnsi"/>
        </w:rPr>
        <w:t xml:space="preserve"> crossed out BFR are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 xml:space="preserve"> that did not make it into the April release.  A new CR will be created for a future release to tackle these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6" w:name="_Ref402431325"/>
          </w:p>
          <w:bookmarkEnd w:id="16"/>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w:t>
            </w:r>
            <w:proofErr w:type="spellStart"/>
            <w:r w:rsidRPr="00027CAA">
              <w:rPr>
                <w:rFonts w:asciiTheme="minorHAnsi" w:hAnsiTheme="minorHAnsi"/>
                <w:strike/>
              </w:rPr>
              <w:t>eRac</w:t>
            </w:r>
            <w:proofErr w:type="spellEnd"/>
            <w:r w:rsidRPr="00027CAA">
              <w:rPr>
                <w:rFonts w:asciiTheme="minorHAnsi" w:hAnsiTheme="minorHAnsi"/>
                <w:strike/>
              </w:rPr>
              <w:t xml:space="preserve">.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w:t>
            </w:r>
            <w:proofErr w:type="gramStart"/>
            <w:r w:rsidRPr="00027CAA">
              <w:rPr>
                <w:rFonts w:asciiTheme="minorHAnsi" w:hAnsiTheme="minorHAnsi"/>
                <w:strike/>
              </w:rPr>
              <w:t>a negative</w:t>
            </w:r>
            <w:proofErr w:type="gramEnd"/>
            <w:r w:rsidRPr="00027CAA">
              <w:rPr>
                <w:rFonts w:asciiTheme="minorHAnsi" w:hAnsiTheme="minorHAnsi"/>
                <w:strike/>
              </w:rPr>
              <w:t xml:space="preserve"> cash cost, I/C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w:t>
            </w:r>
            <w:proofErr w:type="spellStart"/>
            <w:r w:rsidRPr="00027CAA">
              <w:rPr>
                <w:rFonts w:asciiTheme="minorHAnsi" w:hAnsiTheme="minorHAnsi"/>
                <w:strike/>
              </w:rPr>
              <w:t>repricing</w:t>
            </w:r>
            <w:proofErr w:type="spellEnd"/>
            <w:r w:rsidRPr="00027CAA">
              <w:rPr>
                <w:rFonts w:asciiTheme="minorHAnsi" w:hAnsiTheme="minorHAnsi"/>
                <w:strike/>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E544C2" w:rsidRDefault="00E544C2" w:rsidP="00CA2B01">
      <w:pPr>
        <w:pStyle w:val="Heading3"/>
        <w:rPr>
          <w:rFonts w:asciiTheme="minorHAnsi" w:hAnsiTheme="minorHAnsi"/>
        </w:rPr>
      </w:pPr>
      <w:bookmarkStart w:id="21" w:name="_Toc416435164"/>
      <w:r w:rsidRPr="006C54CB">
        <w:rPr>
          <w:rFonts w:asciiTheme="minorHAnsi" w:hAnsiTheme="minorHAnsi"/>
        </w:rPr>
        <w:t>Technical Design Requirements</w:t>
      </w:r>
      <w:bookmarkEnd w:id="21"/>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2"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2"/>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3" w:name="_Toc379450809"/>
      <w:bookmarkStart w:id="24" w:name="_Toc416435166"/>
      <w:r w:rsidRPr="006C54CB">
        <w:rPr>
          <w:rFonts w:asciiTheme="minorHAnsi" w:hAnsiTheme="minorHAnsi"/>
        </w:rPr>
        <w:t>Assumptions</w:t>
      </w:r>
      <w:bookmarkEnd w:id="23"/>
      <w:bookmarkEnd w:id="24"/>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5" w:name="_Toc416435167"/>
      <w:r w:rsidRPr="006C54CB">
        <w:rPr>
          <w:rFonts w:asciiTheme="minorHAnsi" w:hAnsiTheme="minorHAnsi"/>
        </w:rPr>
        <w:t>Technical Design</w:t>
      </w:r>
      <w:bookmarkEnd w:id="25"/>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6" w:name="_Toc416435168"/>
      <w:r w:rsidRPr="006C54CB">
        <w:rPr>
          <w:rFonts w:asciiTheme="minorHAnsi" w:hAnsiTheme="minorHAnsi"/>
        </w:rPr>
        <w:t>Referenced Documents</w:t>
      </w:r>
      <w:bookmarkEnd w:id="26"/>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7" w:name="_Toc416435169"/>
      <w:r w:rsidRPr="008E75DF">
        <w:rPr>
          <w:rFonts w:asciiTheme="minorHAnsi" w:hAnsiTheme="minorHAnsi"/>
        </w:rPr>
        <w:lastRenderedPageBreak/>
        <w:t>Process Flow and Mock Ups</w:t>
      </w:r>
      <w:bookmarkEnd w:id="27"/>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8" w:name="_Toc416435170"/>
      <w:r>
        <w:t>Changes to the CMC</w:t>
      </w:r>
      <w:r w:rsidR="003731D6" w:rsidRPr="003731D6">
        <w:t xml:space="preserve"> </w:t>
      </w:r>
      <w:r w:rsidR="00D46E5F">
        <w:t>files</w:t>
      </w:r>
      <w:bookmarkEnd w:id="28"/>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9" w:name="_Toc416435171"/>
      <w:r>
        <w:t>Waste types to add</w:t>
      </w:r>
      <w:bookmarkEnd w:id="29"/>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30" w:name="_Toc41643517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30"/>
    </w:p>
    <w:p w:rsidR="006824C8" w:rsidRDefault="006824C8" w:rsidP="006824C8">
      <w:pPr>
        <w:pStyle w:val="Heading3"/>
      </w:pPr>
      <w:bookmarkStart w:id="31" w:name="_Toc416435173"/>
      <w:r>
        <w:t xml:space="preserve">The following changes to the </w:t>
      </w:r>
      <w:proofErr w:type="spellStart"/>
      <w:r>
        <w:t>Dis</w:t>
      </w:r>
      <w:r w:rsidR="00863526">
        <w:t>posal_Sites</w:t>
      </w:r>
      <w:proofErr w:type="spellEnd"/>
      <w:r w:rsidR="00863526">
        <w:t xml:space="preserve"> table are required</w:t>
      </w:r>
      <w:bookmarkEnd w:id="31"/>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2" w:name="_Toc416435174"/>
      <w:r>
        <w:t xml:space="preserve">The following changes to the </w:t>
      </w:r>
      <w:proofErr w:type="spellStart"/>
      <w:r>
        <w:t>DisposalCosts_Comm</w:t>
      </w:r>
      <w:proofErr w:type="spellEnd"/>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3" w:name="_Toc416435175"/>
      <w:r>
        <w:t xml:space="preserve">The following changes to the </w:t>
      </w:r>
      <w:proofErr w:type="spellStart"/>
      <w:r w:rsidR="00647EB2">
        <w:t>small_cont_disp_zip</w:t>
      </w:r>
      <w:proofErr w:type="spellEnd"/>
      <w:r>
        <w:t xml:space="preserve"> table are required:</w:t>
      </w:r>
      <w:bookmarkEnd w:id="33"/>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4" w:name="_Toc416435176"/>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34"/>
    </w:p>
    <w:p w:rsidR="004E03FB" w:rsidRDefault="004E362E" w:rsidP="004E03FB">
      <w:pPr>
        <w:pStyle w:val="Heading3"/>
      </w:pPr>
      <w:bookmarkStart w:id="35" w:name="_Toc416435177"/>
      <w:r>
        <w:t>Small container l</w:t>
      </w:r>
      <w:r w:rsidR="004E03FB">
        <w:t>ookups to determine disposal location should be modified in the following way:</w:t>
      </w:r>
      <w:bookmarkEnd w:id="35"/>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bookmarkStart w:id="36" w:name="_Toc416435178"/>
      <w:r>
        <w:t>Large container lookups to determine disposal location should be modified in the following way:</w:t>
      </w:r>
      <w:bookmarkEnd w:id="36"/>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bookmarkStart w:id="37" w:name="_Toc416435179"/>
      <w:r>
        <w:t>Pricing formula modifications</w:t>
      </w:r>
      <w:bookmarkEnd w:id="37"/>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8" w:name="_Toc416435180"/>
      <w:r w:rsidRPr="006C54CB">
        <w:rPr>
          <w:rFonts w:asciiTheme="minorHAnsi" w:hAnsiTheme="minorHAnsi"/>
        </w:rPr>
        <w:t>Data Sources &amp; Mapping</w:t>
      </w:r>
      <w:bookmarkEnd w:id="38"/>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9" w:name="_Toc416435181"/>
      <w:r w:rsidRPr="00A878BC">
        <w:rPr>
          <w:rFonts w:asciiTheme="minorHAnsi" w:hAnsiTheme="minorHAnsi"/>
        </w:rPr>
        <w:t xml:space="preserve">InfoPro </w:t>
      </w:r>
      <w:r w:rsidR="00A910C9" w:rsidRPr="00A878BC">
        <w:rPr>
          <w:rFonts w:asciiTheme="minorHAnsi" w:hAnsiTheme="minorHAnsi"/>
        </w:rPr>
        <w:t>Interface</w:t>
      </w:r>
      <w:bookmarkEnd w:id="39"/>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w:t>
      </w:r>
      <w:proofErr w:type="spellStart"/>
      <w:r w:rsidRPr="008E5FEC">
        <w:rPr>
          <w:rFonts w:asciiTheme="minorHAnsi" w:hAnsiTheme="minorHAnsi" w:cs="Courier New"/>
          <w:strike/>
          <w:color w:val="000000"/>
        </w:rPr>
        <w:t>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w:t>
      </w:r>
      <w:proofErr w:type="spellEnd"/>
      <w:r w:rsidRPr="008E5FEC">
        <w:rPr>
          <w:rFonts w:asciiTheme="minorHAnsi" w:hAnsiTheme="minorHAnsi" w:cs="Courier New"/>
          <w:strike/>
          <w:color w:val="000000"/>
        </w:rPr>
        <w:t>)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w:t>
      </w:r>
      <w:proofErr w:type="spellStart"/>
      <w:r w:rsidRPr="008E5FEC">
        <w:rPr>
          <w:rFonts w:asciiTheme="minorHAnsi" w:hAnsiTheme="minorHAnsi" w:cs="Courier New"/>
          <w:strike/>
          <w:color w:val="000000"/>
        </w:rPr>
        <w:t>contamRate_line</w:t>
      </w:r>
      <w:proofErr w:type="spellEnd"/>
      <w:r w:rsidRPr="008E5FEC">
        <w:rPr>
          <w:rFonts w:asciiTheme="minorHAnsi" w:hAnsiTheme="minorHAnsi" w:cs="Courier New"/>
          <w:strike/>
          <w:color w:val="000000"/>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40" w:name="_Toc416435182"/>
      <w:r w:rsidRPr="006C54CB">
        <w:rPr>
          <w:rFonts w:asciiTheme="minorHAnsi" w:hAnsiTheme="minorHAnsi"/>
        </w:rPr>
        <w:t>Report Changes</w:t>
      </w:r>
      <w:bookmarkEnd w:id="40"/>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1" w:name="_Toc416435183"/>
      <w:r w:rsidRPr="00120B3F">
        <w:rPr>
          <w:rFonts w:asciiTheme="minorHAnsi" w:hAnsiTheme="minorHAnsi"/>
        </w:rPr>
        <w:t>Appendix</w:t>
      </w:r>
      <w:bookmarkEnd w:id="41"/>
      <w:r w:rsidRPr="00120B3F">
        <w:rPr>
          <w:rFonts w:asciiTheme="minorHAnsi" w:hAnsiTheme="minorHAnsi"/>
        </w:rPr>
        <w:t xml:space="preserve"> </w:t>
      </w:r>
      <w:bookmarkEnd w:id="18"/>
      <w:bookmarkEnd w:id="19"/>
      <w:bookmarkEnd w:id="20"/>
    </w:p>
    <w:p w:rsidR="009C2524" w:rsidRPr="009C2524" w:rsidRDefault="009C2524" w:rsidP="009C2524">
      <w:pPr>
        <w:pStyle w:val="Heading2"/>
        <w:jc w:val="both"/>
      </w:pPr>
      <w:bookmarkStart w:id="42" w:name="_Toc416435184"/>
      <w:r>
        <w:rPr>
          <w:rFonts w:asciiTheme="minorHAnsi" w:hAnsiTheme="minorHAnsi"/>
        </w:rPr>
        <w:t>General Questions</w:t>
      </w:r>
      <w:bookmarkEnd w:id="42"/>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3" w:name="_Toc416435185"/>
      <w:r>
        <w:rPr>
          <w:rFonts w:asciiTheme="minorHAnsi" w:hAnsiTheme="minorHAnsi"/>
        </w:rPr>
        <w:t>Deferred Items</w:t>
      </w:r>
      <w:bookmarkEnd w:id="43"/>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Address doesn’t exist?  Need a workaround….override with specific </w:t>
            </w:r>
            <w:proofErr w:type="spellStart"/>
            <w:r w:rsidRPr="009C2524">
              <w:rPr>
                <w:rFonts w:asciiTheme="minorHAnsi" w:hAnsiTheme="minorHAnsi"/>
              </w:rPr>
              <w:t>lat</w:t>
            </w:r>
            <w:proofErr w:type="spellEnd"/>
            <w:r w:rsidRPr="009C2524">
              <w:rPr>
                <w:rFonts w:asciiTheme="minorHAnsi" w:hAnsiTheme="minorHAnsi"/>
              </w:rPr>
              <w: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032AC3">
            <w:pPr>
              <w:jc w:val="both"/>
            </w:pPr>
            <w:r w:rsidRPr="009C2524">
              <w:rPr>
                <w:rFonts w:asciiTheme="minorHAnsi" w:hAnsiTheme="minorHAnsi"/>
              </w:rPr>
              <w:t xml:space="preserve">Industrial-specific marketing literature may need to be added – check </w:t>
            </w:r>
            <w:proofErr w:type="spellStart"/>
            <w:r w:rsidRPr="009C2524">
              <w:rPr>
                <w:rFonts w:asciiTheme="minorHAnsi" w:hAnsiTheme="minorHAnsi"/>
              </w:rPr>
              <w:t>eRac</w:t>
            </w:r>
            <w:proofErr w:type="spellEnd"/>
            <w:r w:rsidRPr="009C2524">
              <w:rPr>
                <w:rFonts w:asciiTheme="minorHAnsi" w:hAnsiTheme="minorHAnsi"/>
              </w:rPr>
              <w:t xml:space="preserve">.  </w:t>
            </w:r>
          </w:p>
          <w:p w:rsidR="009C2524" w:rsidRPr="009C2524" w:rsidRDefault="009C2524" w:rsidP="00032AC3">
            <w:pPr>
              <w:pStyle w:val="ListParagraph"/>
              <w:spacing w:line="276" w:lineRule="auto"/>
              <w:ind w:left="0"/>
              <w:jc w:val="both"/>
              <w:rPr>
                <w:rFonts w:asciiTheme="minorHAnsi" w:hAnsiTheme="minorHAnsi"/>
              </w:rPr>
            </w:pPr>
          </w:p>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032AC3">
            <w:pPr>
              <w:spacing w:line="276" w:lineRule="auto"/>
              <w:rPr>
                <w:rFonts w:asciiTheme="minorHAnsi" w:hAnsiTheme="minorHAnsi"/>
              </w:rPr>
            </w:pPr>
            <w:r w:rsidRPr="009C2524">
              <w:rPr>
                <w:rFonts w:asciiTheme="minorHAnsi" w:hAnsiTheme="minorHAnsi"/>
              </w:rPr>
              <w:t xml:space="preserve">Cost calculations should support </w:t>
            </w:r>
            <w:proofErr w:type="gramStart"/>
            <w:r w:rsidRPr="009C2524">
              <w:rPr>
                <w:rFonts w:asciiTheme="minorHAnsi" w:hAnsiTheme="minorHAnsi"/>
              </w:rPr>
              <w:t>a negative</w:t>
            </w:r>
            <w:proofErr w:type="gramEnd"/>
            <w:r w:rsidRPr="009C2524">
              <w:rPr>
                <w:rFonts w:asciiTheme="minorHAnsi" w:hAnsiTheme="minorHAnsi"/>
              </w:rPr>
              <w:t xml:space="preserve"> cash cost, I/C rate, and market rate. </w:t>
            </w:r>
          </w:p>
          <w:p w:rsidR="009C2524" w:rsidRPr="009C2524" w:rsidRDefault="009C2524" w:rsidP="00032AC3">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032AC3">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032AC3">
            <w:pPr>
              <w:spacing w:line="276" w:lineRule="auto"/>
              <w:rPr>
                <w:rFonts w:asciiTheme="minorHAnsi" w:hAnsiTheme="minorHAnsi"/>
              </w:rPr>
            </w:pP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032AC3">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w:t>
            </w:r>
            <w:proofErr w:type="spellStart"/>
            <w:r w:rsidRPr="009C2524">
              <w:rPr>
                <w:rFonts w:asciiTheme="minorHAnsi" w:hAnsiTheme="minorHAnsi"/>
              </w:rPr>
              <w:t>repricing</w:t>
            </w:r>
            <w:proofErr w:type="spellEnd"/>
            <w:r w:rsidRPr="009C2524">
              <w:rPr>
                <w:rFonts w:asciiTheme="minorHAnsi" w:hAnsiTheme="minorHAnsi"/>
              </w:rPr>
              <w:t xml:space="preserve"> screen.  </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bl>
    <w:p w:rsidR="00A910C9" w:rsidRDefault="00A910C9" w:rsidP="00A910C9">
      <w:pPr>
        <w:jc w:val="both"/>
        <w:rPr>
          <w:rFonts w:asciiTheme="minorHAnsi" w:hAnsiTheme="minorHAnsi"/>
        </w:rPr>
      </w:pPr>
    </w:p>
    <w:p w:rsidR="009C2524" w:rsidRDefault="009C2524" w:rsidP="00A910C9">
      <w:pPr>
        <w:jc w:val="both"/>
        <w:rPr>
          <w:rFonts w:asciiTheme="minorHAnsi" w:hAnsiTheme="minorHAnsi"/>
        </w:rPr>
      </w:pP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509" w:rsidRDefault="00192509">
      <w:r>
        <w:separator/>
      </w:r>
    </w:p>
  </w:endnote>
  <w:endnote w:type="continuationSeparator" w:id="0">
    <w:p w:rsidR="00192509" w:rsidRDefault="00192509">
      <w:r>
        <w:continuationSeparator/>
      </w:r>
    </w:p>
  </w:endnote>
  <w:endnote w:type="continuationNotice" w:id="1">
    <w:p w:rsidR="00192509" w:rsidRDefault="00192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6FF2" w:rsidRDefault="000A6FF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A6FF2" w:rsidRDefault="000A6FF2">
    <w:pPr>
      <w:pStyle w:val="Footer"/>
      <w:ind w:right="360"/>
    </w:pPr>
    <w:r>
      <w:tab/>
    </w:r>
  </w:p>
  <w:p w:rsidR="000A6FF2" w:rsidRDefault="000A6F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Disposal Enhancements</w:t>
        </w:r>
      </w:sdtContent>
    </w:sdt>
    <w:r>
      <w:tab/>
    </w:r>
    <w:r>
      <w:fldChar w:fldCharType="begin"/>
    </w:r>
    <w:r>
      <w:instrText xml:space="preserve"> DATE  \@ "M/d/yyyy h:mm:ss am/pm" \l  \* MERGEFORMAT </w:instrText>
    </w:r>
    <w:r>
      <w:fldChar w:fldCharType="separate"/>
    </w:r>
    <w:r>
      <w:rPr>
        <w:noProof/>
      </w:rPr>
      <w:t>4/10/2015 1:10:55 PM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AA2584">
      <w:rPr>
        <w:rStyle w:val="PageNumber"/>
        <w:rFonts w:ascii="Arial" w:hAnsi="Arial" w:cs="Arial"/>
        <w:b w:val="0"/>
        <w:i/>
        <w:noProof/>
        <w:sz w:val="16"/>
        <w:szCs w:val="16"/>
      </w:rPr>
      <w:t>4</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509" w:rsidRDefault="00192509">
      <w:r>
        <w:separator/>
      </w:r>
    </w:p>
  </w:footnote>
  <w:footnote w:type="continuationSeparator" w:id="0">
    <w:p w:rsidR="00192509" w:rsidRDefault="00192509">
      <w:r>
        <w:continuationSeparator/>
      </w:r>
    </w:p>
  </w:footnote>
  <w:footnote w:type="continuationNotice" w:id="1">
    <w:p w:rsidR="00192509" w:rsidRDefault="001925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2"/>
  </w:num>
  <w:num w:numId="4">
    <w:abstractNumId w:val="4"/>
  </w:num>
  <w:num w:numId="5">
    <w:abstractNumId w:val="5"/>
  </w:num>
  <w:num w:numId="6">
    <w:abstractNumId w:val="11"/>
  </w:num>
  <w:num w:numId="7">
    <w:abstractNumId w:val="0"/>
  </w:num>
  <w:num w:numId="8">
    <w:abstractNumId w:val="18"/>
  </w:num>
  <w:num w:numId="9">
    <w:abstractNumId w:val="6"/>
  </w:num>
  <w:num w:numId="10">
    <w:abstractNumId w:val="3"/>
  </w:num>
  <w:num w:numId="11">
    <w:abstractNumId w:val="26"/>
  </w:num>
  <w:num w:numId="12">
    <w:abstractNumId w:val="10"/>
  </w:num>
  <w:num w:numId="13">
    <w:abstractNumId w:val="9"/>
  </w:num>
  <w:num w:numId="14">
    <w:abstractNumId w:val="13"/>
  </w:num>
  <w:num w:numId="15">
    <w:abstractNumId w:val="20"/>
  </w:num>
  <w:num w:numId="16">
    <w:abstractNumId w:val="7"/>
  </w:num>
  <w:num w:numId="17">
    <w:abstractNumId w:val="14"/>
  </w:num>
  <w:num w:numId="18">
    <w:abstractNumId w:val="25"/>
  </w:num>
  <w:num w:numId="19">
    <w:abstractNumId w:val="19"/>
  </w:num>
  <w:num w:numId="20">
    <w:abstractNumId w:val="2"/>
  </w:num>
  <w:num w:numId="21">
    <w:abstractNumId w:val="24"/>
  </w:num>
  <w:num w:numId="22">
    <w:abstractNumId w:val="21"/>
  </w:num>
  <w:num w:numId="23">
    <w:abstractNumId w:val="8"/>
  </w:num>
  <w:num w:numId="24">
    <w:abstractNumId w:val="16"/>
  </w:num>
  <w:num w:numId="25">
    <w:abstractNumId w:val="23"/>
  </w:num>
  <w:num w:numId="26">
    <w:abstractNumId w:val="1"/>
  </w:num>
  <w:num w:numId="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27CAA"/>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A2584"/>
    <w:rsid w:val="00AB1A63"/>
    <w:rsid w:val="00AB4CC9"/>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E7F6C882-D823-46E3-8391-DFDE042A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17</Pages>
  <Words>4132</Words>
  <Characters>23558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25</cp:revision>
  <cp:lastPrinted>2012-12-07T17:42:00Z</cp:lastPrinted>
  <dcterms:created xsi:type="dcterms:W3CDTF">2015-02-19T17:20:00Z</dcterms:created>
  <dcterms:modified xsi:type="dcterms:W3CDTF">2015-04-10T20:18:00Z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