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7B3B5A" w:rsidP="00510A21">
      <w:pPr>
        <w:jc w:val="center"/>
        <w:rPr>
          <w:rFonts w:asciiTheme="minorHAnsi" w:hAnsiTheme="minorHAnsi"/>
          <w:b/>
          <w:kern w:val="28"/>
          <w:sz w:val="40"/>
        </w:rPr>
      </w:pPr>
      <w:r w:rsidRPr="00353B7A">
        <w:rPr>
          <w:rFonts w:asciiTheme="minorHAnsi" w:hAnsiTheme="minorHAnsi"/>
          <w:b/>
          <w:kern w:val="28"/>
          <w:sz w:val="40"/>
        </w:rPr>
        <w:t xml:space="preserve">Feb2015 </w:t>
      </w:r>
      <w:r w:rsidR="0095165B">
        <w:rPr>
          <w:rFonts w:asciiTheme="minorHAnsi" w:hAnsiTheme="minorHAnsi"/>
          <w:b/>
          <w:kern w:val="28"/>
          <w:sz w:val="40"/>
        </w:rPr>
        <w:t xml:space="preserve">GH322 </w:t>
      </w:r>
    </w:p>
    <w:p w:rsidR="0095165B" w:rsidRPr="00353B7A" w:rsidRDefault="0095165B" w:rsidP="00510A21">
      <w:pPr>
        <w:jc w:val="center"/>
        <w:rPr>
          <w:rFonts w:asciiTheme="minorHAnsi" w:hAnsiTheme="minorHAnsi"/>
          <w:b/>
          <w:kern w:val="28"/>
          <w:sz w:val="40"/>
        </w:rPr>
      </w:pPr>
      <w:r>
        <w:rPr>
          <w:rFonts w:asciiTheme="minorHAnsi" w:hAnsiTheme="minorHAnsi"/>
          <w:b/>
          <w:kern w:val="28"/>
          <w:sz w:val="40"/>
        </w:rPr>
        <w:t>Change Frequency of S/Q Items to per Occurrence</w:t>
      </w:r>
    </w:p>
    <w:p w:rsidR="004965B8" w:rsidRPr="00353B7A" w:rsidRDefault="0095165B" w:rsidP="00510A21">
      <w:pPr>
        <w:jc w:val="center"/>
        <w:rPr>
          <w:rFonts w:asciiTheme="minorHAnsi" w:hAnsiTheme="minorHAnsi"/>
          <w:b/>
          <w:kern w:val="28"/>
          <w:sz w:val="40"/>
        </w:rPr>
      </w:pPr>
      <w:r>
        <w:rPr>
          <w:rFonts w:asciiTheme="minorHAnsi" w:hAnsiTheme="minorHAnsi"/>
          <w:b/>
          <w:kern w:val="28"/>
          <w:sz w:val="40"/>
        </w:rPr>
        <w:t>CR 13375</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95165B" w:rsidP="0095165B">
            <w:pPr>
              <w:pStyle w:val="TableText"/>
              <w:widowControl/>
              <w:jc w:val="both"/>
              <w:rPr>
                <w:rFonts w:asciiTheme="minorHAnsi" w:hAnsiTheme="minorHAnsi"/>
              </w:rPr>
            </w:pPr>
            <w:r>
              <w:rPr>
                <w:rFonts w:asciiTheme="minorHAnsi" w:hAnsiTheme="minorHAnsi"/>
              </w:rPr>
              <w:t>2</w:t>
            </w:r>
            <w:r w:rsidR="00D43F64" w:rsidRPr="00353B7A">
              <w:rPr>
                <w:rFonts w:asciiTheme="minorHAnsi" w:hAnsiTheme="minorHAnsi"/>
              </w:rPr>
              <w:t>/</w:t>
            </w:r>
            <w:r>
              <w:rPr>
                <w:rFonts w:asciiTheme="minorHAnsi" w:hAnsiTheme="minorHAnsi"/>
              </w:rPr>
              <w:t>2</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caps/>
          <w:noProof/>
        </w:rPr>
        <w:t>3.1</w:t>
      </w:r>
      <w:r>
        <w:rPr>
          <w:rFonts w:asciiTheme="minorHAnsi" w:eastAsiaTheme="minorEastAsia" w:hAnsiTheme="minorHAnsi" w:cstheme="minorBidi"/>
          <w:smallCaps w:val="0"/>
          <w:noProof/>
          <w:sz w:val="22"/>
          <w:szCs w:val="22"/>
        </w:rPr>
        <w:tab/>
      </w:r>
      <w:r w:rsidRPr="00AE2A5A">
        <w:rPr>
          <w:rFonts w:asciiTheme="minorHAnsi" w:hAnsiTheme="minorHAnsi"/>
          <w:noProof/>
        </w:rPr>
        <w:t>#322 Change Frequency of S/Q Items to per Occurrence</w:t>
      </w:r>
      <w:r>
        <w:rPr>
          <w:noProof/>
        </w:rPr>
        <w:tab/>
      </w:r>
      <w:r>
        <w:rPr>
          <w:noProof/>
        </w:rPr>
        <w:fldChar w:fldCharType="begin"/>
      </w:r>
      <w:r>
        <w:rPr>
          <w:noProof/>
        </w:rPr>
        <w:instrText xml:space="preserve"> PAGEREF _Toc410897123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Pr="00AE2A5A">
        <w:rPr>
          <w:rFonts w:asciiTheme="minorHAnsi" w:hAnsiTheme="minorHAnsi"/>
          <w:noProof/>
        </w:rPr>
        <w:t>InfoPro Interface</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4F2D5F" w:rsidP="0095165B">
            <w:pPr>
              <w:jc w:val="center"/>
              <w:rPr>
                <w:rFonts w:asciiTheme="minorHAnsi" w:hAnsiTheme="minorHAnsi"/>
              </w:rPr>
            </w:pPr>
            <w:hyperlink w:anchor="Competitor_Gateway_Area" w:history="1">
              <w:r w:rsidR="0095165B">
                <w:rPr>
                  <w:rStyle w:val="Hyperlink"/>
                  <w:rFonts w:asciiTheme="minorHAnsi" w:hAnsiTheme="minorHAnsi"/>
                </w:rPr>
                <w:t>322</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95165B" w:rsidP="007B3B5A">
            <w:pPr>
              <w:rPr>
                <w:rFonts w:asciiTheme="minorHAnsi" w:hAnsiTheme="minorHAnsi"/>
                <w:kern w:val="28"/>
                <w:sz w:val="22"/>
                <w:szCs w:val="22"/>
              </w:rPr>
            </w:pPr>
            <w:r w:rsidRPr="0095165B">
              <w:rPr>
                <w:rFonts w:asciiTheme="minorHAnsi" w:hAnsiTheme="minorHAnsi"/>
                <w:kern w:val="28"/>
                <w:sz w:val="22"/>
                <w:szCs w:val="22"/>
              </w:rPr>
              <w:t>Change Frequency of S/Q Items to per Occurrence</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0479A4" w:rsidRPr="00B50DFB" w:rsidRDefault="0095165B" w:rsidP="000479A4">
      <w:pPr>
        <w:rPr>
          <w:rFonts w:asciiTheme="minorHAnsi" w:hAnsiTheme="minorHAnsi"/>
        </w:rPr>
      </w:pPr>
      <w:r w:rsidRPr="00B50DFB">
        <w:rPr>
          <w:rFonts w:asciiTheme="minorHAnsi" w:hAnsiTheme="minorHAnsi" w:cs="Helvetica"/>
          <w:color w:val="333333"/>
          <w:shd w:val="clear" w:color="auto" w:fill="FFFFFF"/>
        </w:rPr>
        <w:t>Since the InfoPro upload does not take into account multiples of a type of service revenue such as Delivery, Capture line item detail for these need to be per service.</w:t>
      </w:r>
    </w:p>
    <w:p w:rsidR="0095165B" w:rsidRPr="00353B7A" w:rsidRDefault="0095165B" w:rsidP="0095165B">
      <w:pPr>
        <w:pStyle w:val="BodyText"/>
        <w:rPr>
          <w:rFonts w:asciiTheme="minorHAnsi" w:hAnsiTheme="minorHAnsi"/>
        </w:rPr>
      </w:pPr>
      <w:r>
        <w:rPr>
          <w:noProof/>
        </w:rPr>
        <w:drawing>
          <wp:inline distT="0" distB="0" distL="0" distR="0">
            <wp:extent cx="5715000" cy="388778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87785"/>
                    </a:xfrm>
                    <a:prstGeom prst="rect">
                      <a:avLst/>
                    </a:prstGeom>
                    <a:noFill/>
                    <a:ln>
                      <a:noFill/>
                    </a:ln>
                  </pic:spPr>
                </pic:pic>
              </a:graphicData>
            </a:graphic>
          </wp:inline>
        </w:drawing>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CC0F38" w:rsidRPr="0095165B" w:rsidRDefault="00DB454F" w:rsidP="00CC0F38">
      <w:pPr>
        <w:pStyle w:val="Heading2"/>
        <w:rPr>
          <w:rFonts w:asciiTheme="minorHAnsi" w:hAnsiTheme="minorHAnsi"/>
          <w:caps/>
          <w:szCs w:val="28"/>
        </w:rPr>
      </w:pPr>
      <w:bookmarkStart w:id="21" w:name="_Toc410897123"/>
      <w:r w:rsidRPr="00DB454F">
        <w:rPr>
          <w:rFonts w:asciiTheme="minorHAnsi" w:hAnsiTheme="minorHAnsi"/>
          <w:szCs w:val="28"/>
        </w:rPr>
        <w:t>#</w:t>
      </w:r>
      <w:bookmarkStart w:id="22" w:name="Competitor_Gateway_Area"/>
      <w:r w:rsidR="0095165B">
        <w:rPr>
          <w:rFonts w:asciiTheme="minorHAnsi" w:hAnsiTheme="minorHAnsi"/>
          <w:szCs w:val="28"/>
        </w:rPr>
        <w:t>322</w:t>
      </w:r>
      <w:r w:rsidR="007F5CA8">
        <w:rPr>
          <w:rFonts w:asciiTheme="minorHAnsi" w:hAnsiTheme="minorHAnsi"/>
          <w:szCs w:val="28"/>
        </w:rPr>
        <w:t xml:space="preserve"> </w:t>
      </w:r>
      <w:bookmarkEnd w:id="22"/>
      <w:r w:rsidR="0095165B" w:rsidRPr="0095165B">
        <w:rPr>
          <w:rFonts w:asciiTheme="minorHAnsi" w:hAnsiTheme="minorHAnsi"/>
          <w:szCs w:val="28"/>
        </w:rPr>
        <w:t>Change Frequency of S/Q Items to per Occurrence</w:t>
      </w:r>
      <w:bookmarkEnd w:id="21"/>
    </w:p>
    <w:p w:rsidR="00CC0F38" w:rsidRPr="00353B7A" w:rsidRDefault="00CC0F38" w:rsidP="00CC0F38">
      <w:pPr>
        <w:pStyle w:val="Heading2"/>
        <w:numPr>
          <w:ilvl w:val="0"/>
          <w:numId w:val="0"/>
        </w:numPr>
        <w:rPr>
          <w:rFonts w:asciiTheme="minorHAnsi" w:hAnsiTheme="minorHAnsi"/>
          <w:i w:val="0"/>
          <w:sz w:val="22"/>
          <w:szCs w:val="22"/>
        </w:rPr>
      </w:pPr>
    </w:p>
    <w:p w:rsidR="007C30F5" w:rsidRDefault="007C30F5" w:rsidP="00DE19F7">
      <w:pPr>
        <w:pStyle w:val="BodyText"/>
        <w:rPr>
          <w:rFonts w:asciiTheme="minorHAnsi" w:hAnsiTheme="minorHAnsi" w:cs="Helvetica"/>
          <w:color w:val="333333"/>
          <w:sz w:val="22"/>
          <w:szCs w:val="22"/>
          <w:shd w:val="clear" w:color="auto" w:fill="FFFFFF"/>
        </w:rPr>
      </w:pPr>
    </w:p>
    <w:p w:rsidR="00B50DFB" w:rsidRDefault="00B50DF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B50DFB" w:rsidRPr="00B50DFB" w:rsidRDefault="00B50DFB" w:rsidP="00B50DFB">
      <w:pPr>
        <w:rPr>
          <w:rFonts w:asciiTheme="minorHAnsi" w:hAnsiTheme="minorHAnsi" w:cs="Consolas"/>
        </w:rPr>
      </w:pPr>
      <w:r>
        <w:rPr>
          <w:rStyle w:val="HTMLCode"/>
          <w:rFonts w:asciiTheme="minorHAnsi" w:hAnsiTheme="minorHAnsi" w:cs="Consolas"/>
        </w:rPr>
        <w:t>Change the "One-Time" b</w:t>
      </w:r>
      <w:r w:rsidRPr="00B50DFB">
        <w:rPr>
          <w:rStyle w:val="HTMLCode"/>
          <w:rFonts w:asciiTheme="minorHAnsi" w:hAnsiTheme="minorHAnsi" w:cs="Consolas"/>
        </w:rPr>
        <w:t>illing method to "Per Service”</w:t>
      </w:r>
      <w:r w:rsidRPr="00B50DFB">
        <w:rPr>
          <w:rFonts w:asciiTheme="minorHAnsi" w:hAnsiTheme="minorHAnsi" w:cs="Consolas"/>
        </w:rPr>
        <w:t xml:space="preserve"> and correct the calculations for delivery and removal.</w:t>
      </w:r>
    </w:p>
    <w:p w:rsidR="00B50DFB" w:rsidRPr="00B50DFB" w:rsidRDefault="00B50DFB" w:rsidP="00B50DFB">
      <w:pPr>
        <w:rPr>
          <w:rFonts w:asciiTheme="minorHAnsi" w:hAnsiTheme="minorHAnsi"/>
        </w:rPr>
      </w:pPr>
    </w:p>
    <w:p w:rsidR="0095165B" w:rsidRDefault="0095165B" w:rsidP="00B50DFB">
      <w:pPr>
        <w:pStyle w:val="NoSpacing"/>
      </w:pPr>
      <w:r w:rsidRPr="00B50DFB">
        <w:rPr>
          <w:rFonts w:cs="Helvetica"/>
        </w:rPr>
        <w:t xml:space="preserve">Create 5 new variables </w:t>
      </w:r>
      <w:r w:rsidR="00B50DFB">
        <w:rPr>
          <w:rFonts w:cs="Helvetica"/>
        </w:rPr>
        <w:t>to store the one time charges</w:t>
      </w:r>
      <w:r w:rsidR="001C490B">
        <w:rPr>
          <w:rFonts w:cs="Helvetica"/>
        </w:rPr>
        <w:t>, keeping the per service variables</w:t>
      </w:r>
      <w:r w:rsidR="00B50DFB">
        <w:rPr>
          <w:rFonts w:cs="Helvetica"/>
        </w:rPr>
        <w:t xml:space="preserve"> </w:t>
      </w:r>
      <w:r w:rsidR="001C490B">
        <w:rPr>
          <w:rFonts w:cs="Helvetica"/>
        </w:rPr>
        <w:t>for InfoPro upload purposes and display new variables on the supporting documents (Proposal and CSA)</w:t>
      </w:r>
    </w:p>
    <w:p w:rsidR="00B50DFB" w:rsidRPr="00B50DFB" w:rsidRDefault="00B50DFB" w:rsidP="00B50DFB">
      <w:pPr>
        <w:pStyle w:val="NoSpacing"/>
        <w:rPr>
          <w:rFonts w:cs="Helvetica"/>
        </w:rPr>
      </w:pPr>
    </w:p>
    <w:p w:rsidR="0095165B" w:rsidRPr="00B50DFB" w:rsidRDefault="0095165B" w:rsidP="0095165B">
      <w:pPr>
        <w:pStyle w:val="NoSpacing"/>
        <w:numPr>
          <w:ilvl w:val="0"/>
          <w:numId w:val="29"/>
        </w:numPr>
      </w:pPr>
      <w:r w:rsidRPr="00B50DFB">
        <w:t>deliveryChargeSubtotal_onetime_quote</w:t>
      </w:r>
    </w:p>
    <w:p w:rsidR="0095165B" w:rsidRPr="00B50DFB" w:rsidRDefault="0095165B" w:rsidP="0095165B">
      <w:pPr>
        <w:pStyle w:val="NoSpacing"/>
        <w:numPr>
          <w:ilvl w:val="0"/>
          <w:numId w:val="29"/>
        </w:numPr>
      </w:pPr>
      <w:r w:rsidRPr="00B50DFB">
        <w:t>oneTime_valuedCustomerDiscount_quote</w:t>
      </w:r>
    </w:p>
    <w:p w:rsidR="0095165B" w:rsidRPr="00B50DFB" w:rsidRDefault="0095165B" w:rsidP="0095165B">
      <w:pPr>
        <w:pStyle w:val="NoSpacing"/>
        <w:numPr>
          <w:ilvl w:val="0"/>
          <w:numId w:val="29"/>
        </w:numPr>
      </w:pPr>
      <w:r w:rsidRPr="00B50DFB">
        <w:t>exchangeChargeSubtotal_onetime_quote</w:t>
      </w:r>
    </w:p>
    <w:p w:rsidR="0095165B" w:rsidRPr="00B50DFB" w:rsidRDefault="0095165B" w:rsidP="0095165B">
      <w:pPr>
        <w:pStyle w:val="NoSpacing"/>
        <w:numPr>
          <w:ilvl w:val="0"/>
          <w:numId w:val="29"/>
        </w:numPr>
      </w:pPr>
      <w:r w:rsidRPr="00B50DFB">
        <w:t>numberOfTotalRemovalContainers_quote</w:t>
      </w:r>
    </w:p>
    <w:p w:rsidR="0095165B" w:rsidRPr="00B50DFB" w:rsidRDefault="0095165B" w:rsidP="0095165B">
      <w:pPr>
        <w:pStyle w:val="NoSpacing"/>
        <w:numPr>
          <w:ilvl w:val="0"/>
          <w:numId w:val="29"/>
        </w:numPr>
      </w:pPr>
      <w:r w:rsidRPr="00B50DFB">
        <w:t>oneTime_exchangeCustomerDiscount_quote</w:t>
      </w:r>
    </w:p>
    <w:p w:rsidR="0095165B" w:rsidRDefault="0095165B" w:rsidP="0095165B">
      <w:pPr>
        <w:pStyle w:val="NoSpacing"/>
      </w:pPr>
    </w:p>
    <w:p w:rsidR="0095165B" w:rsidRDefault="0095165B" w:rsidP="0095165B">
      <w:pPr>
        <w:pStyle w:val="NoSpacing"/>
      </w:pPr>
    </w:p>
    <w:p w:rsidR="0095165B" w:rsidRDefault="0095165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noProof/>
          <w:color w:val="4183C4"/>
          <w:sz w:val="21"/>
          <w:szCs w:val="21"/>
        </w:rPr>
        <w:drawing>
          <wp:inline distT="0" distB="0" distL="0" distR="0">
            <wp:extent cx="6038418" cy="3071085"/>
            <wp:effectExtent l="0" t="0" r="635" b="0"/>
            <wp:docPr id="10" name="Picture 10"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2329" cy="3073074"/>
                    </a:xfrm>
                    <a:prstGeom prst="rect">
                      <a:avLst/>
                    </a:prstGeom>
                    <a:noFill/>
                    <a:ln>
                      <a:noFill/>
                    </a:ln>
                  </pic:spPr>
                </pic:pic>
              </a:graphicData>
            </a:graphic>
          </wp:inline>
        </w:drawing>
      </w:r>
    </w:p>
    <w:p w:rsidR="0095165B" w:rsidRDefault="0095165B" w:rsidP="0095165B">
      <w:pPr>
        <w:pStyle w:val="NormalWeb"/>
        <w:shd w:val="clear" w:color="auto" w:fill="FFFFFF"/>
        <w:spacing w:before="0" w:beforeAutospacing="0" w:after="240" w:afterAutospacing="0" w:line="336" w:lineRule="atLeast"/>
        <w:ind w:hanging="1080"/>
        <w:rPr>
          <w:rFonts w:ascii="Helvetica" w:hAnsi="Helvetica" w:cs="Helvetica"/>
          <w:color w:val="333333"/>
          <w:sz w:val="21"/>
          <w:szCs w:val="21"/>
        </w:rPr>
      </w:pPr>
      <w:r>
        <w:rPr>
          <w:rFonts w:ascii="Helvetica" w:hAnsi="Helvetica" w:cs="Helvetica"/>
          <w:noProof/>
          <w:color w:val="4183C4"/>
          <w:sz w:val="21"/>
          <w:szCs w:val="21"/>
        </w:rPr>
        <w:drawing>
          <wp:inline distT="0" distB="0" distL="0" distR="0">
            <wp:extent cx="6968349" cy="1975449"/>
            <wp:effectExtent l="0" t="0" r="4445" b="6350"/>
            <wp:docPr id="9" name="Picture 9"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1005" cy="1990377"/>
                    </a:xfrm>
                    <a:prstGeom prst="rect">
                      <a:avLst/>
                    </a:prstGeom>
                    <a:noFill/>
                    <a:ln>
                      <a:noFill/>
                    </a:ln>
                  </pic:spPr>
                </pic:pic>
              </a:graphicData>
            </a:graphic>
          </wp:inline>
        </w:drawing>
      </w:r>
    </w:p>
    <w:p w:rsidR="0095165B" w:rsidRDefault="0095165B" w:rsidP="0095165B">
      <w:pPr>
        <w:pStyle w:val="NormalWeb"/>
        <w:shd w:val="clear" w:color="auto" w:fill="FFFFFF"/>
        <w:spacing w:before="0" w:beforeAutospacing="0" w:line="336" w:lineRule="atLeast"/>
        <w:ind w:left="-1170" w:firstLine="90"/>
        <w:rPr>
          <w:rFonts w:ascii="Helvetica" w:hAnsi="Helvetica" w:cs="Helvetica"/>
          <w:color w:val="333333"/>
          <w:sz w:val="21"/>
          <w:szCs w:val="21"/>
        </w:rPr>
      </w:pPr>
      <w:r>
        <w:rPr>
          <w:rFonts w:ascii="Helvetica" w:hAnsi="Helvetica" w:cs="Helvetica"/>
          <w:noProof/>
          <w:color w:val="4183C4"/>
          <w:sz w:val="21"/>
          <w:szCs w:val="21"/>
        </w:rPr>
        <w:lastRenderedPageBreak/>
        <w:drawing>
          <wp:inline distT="0" distB="0" distL="0" distR="0">
            <wp:extent cx="6962657" cy="1181819"/>
            <wp:effectExtent l="0" t="0" r="0" b="0"/>
            <wp:docPr id="7" name="Picture 7"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97085" cy="1204636"/>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noProof/>
          <w:color w:val="4183C4"/>
          <w:sz w:val="21"/>
          <w:szCs w:val="21"/>
        </w:rPr>
        <w:drawing>
          <wp:inline distT="0" distB="0" distL="0" distR="0">
            <wp:extent cx="7073828" cy="456785"/>
            <wp:effectExtent l="0" t="0" r="0" b="635"/>
            <wp:docPr id="6" name="Picture 6" descr="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37409" cy="467348"/>
                    </a:xfrm>
                    <a:prstGeom prst="rect">
                      <a:avLst/>
                    </a:prstGeom>
                    <a:noFill/>
                    <a:ln>
                      <a:noFill/>
                    </a:ln>
                  </pic:spPr>
                </pic:pic>
              </a:graphicData>
            </a:graphic>
          </wp:inline>
        </w:drawing>
      </w:r>
    </w:p>
    <w:p w:rsidR="0095165B" w:rsidRPr="00353B7A" w:rsidRDefault="0095165B" w:rsidP="00DE19F7">
      <w:pPr>
        <w:pStyle w:val="BodyText"/>
        <w:rPr>
          <w:rFonts w:asciiTheme="minorHAnsi" w:hAnsiTheme="minorHAnsi" w:cs="Helvetica"/>
          <w:color w:val="333333"/>
          <w:sz w:val="22"/>
          <w:szCs w:val="22"/>
          <w:shd w:val="clear" w:color="auto" w:fill="FFFFFF"/>
        </w:rPr>
      </w:pP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23" w:name="_Toc410897124"/>
      <w:r w:rsidRPr="00353B7A">
        <w:rPr>
          <w:rFonts w:asciiTheme="minorHAnsi" w:hAnsiTheme="minorHAnsi"/>
        </w:rPr>
        <w:t>InfoPro Interface</w:t>
      </w:r>
      <w:bookmarkEnd w:id="23"/>
    </w:p>
    <w:p w:rsidR="00353B7A" w:rsidRDefault="001C490B" w:rsidP="00353B7A">
      <w:pPr>
        <w:pStyle w:val="BodyText"/>
        <w:ind w:left="432"/>
        <w:rPr>
          <w:rFonts w:asciiTheme="minorHAnsi" w:hAnsiTheme="minorHAnsi"/>
          <w:sz w:val="22"/>
          <w:szCs w:val="22"/>
        </w:rPr>
      </w:pPr>
      <w:r>
        <w:rPr>
          <w:rFonts w:asciiTheme="minorHAnsi" w:hAnsiTheme="minorHAnsi"/>
          <w:sz w:val="22"/>
          <w:szCs w:val="22"/>
        </w:rPr>
        <w:t xml:space="preserve">New variables </w:t>
      </w:r>
      <w:r w:rsidR="002F37BE">
        <w:rPr>
          <w:rFonts w:asciiTheme="minorHAnsi" w:hAnsiTheme="minorHAnsi"/>
          <w:sz w:val="22"/>
          <w:szCs w:val="22"/>
        </w:rPr>
        <w:t xml:space="preserve">(below) </w:t>
      </w:r>
      <w:bookmarkStart w:id="24" w:name="_GoBack"/>
      <w:bookmarkEnd w:id="24"/>
      <w:r>
        <w:rPr>
          <w:rFonts w:asciiTheme="minorHAnsi" w:hAnsiTheme="minorHAnsi"/>
          <w:sz w:val="22"/>
          <w:szCs w:val="22"/>
        </w:rPr>
        <w:t>should not affect InfoPro AAE process but will include InfoPro team on testing.</w:t>
      </w:r>
    </w:p>
    <w:p w:rsidR="002F37BE" w:rsidRPr="00B50DFB" w:rsidRDefault="002F37BE" w:rsidP="002F37BE">
      <w:pPr>
        <w:pStyle w:val="NoSpacing"/>
        <w:numPr>
          <w:ilvl w:val="0"/>
          <w:numId w:val="29"/>
        </w:numPr>
      </w:pPr>
      <w:r w:rsidRPr="00B50DFB">
        <w:t>deliveryChargeSubtotal_onetime_quote</w:t>
      </w:r>
    </w:p>
    <w:p w:rsidR="002F37BE" w:rsidRPr="00B50DFB" w:rsidRDefault="002F37BE" w:rsidP="002F37BE">
      <w:pPr>
        <w:pStyle w:val="NoSpacing"/>
        <w:numPr>
          <w:ilvl w:val="0"/>
          <w:numId w:val="29"/>
        </w:numPr>
      </w:pPr>
      <w:r w:rsidRPr="00B50DFB">
        <w:t>oneTime_valuedCustomerDiscount_quote</w:t>
      </w:r>
    </w:p>
    <w:p w:rsidR="002F37BE" w:rsidRPr="00B50DFB" w:rsidRDefault="002F37BE" w:rsidP="002F37BE">
      <w:pPr>
        <w:pStyle w:val="NoSpacing"/>
        <w:numPr>
          <w:ilvl w:val="0"/>
          <w:numId w:val="29"/>
        </w:numPr>
      </w:pPr>
      <w:r w:rsidRPr="00B50DFB">
        <w:t>exchangeChargeSubtotal_onetime_quote</w:t>
      </w:r>
    </w:p>
    <w:p w:rsidR="002F37BE" w:rsidRPr="00B50DFB" w:rsidRDefault="002F37BE" w:rsidP="002F37BE">
      <w:pPr>
        <w:pStyle w:val="NoSpacing"/>
        <w:numPr>
          <w:ilvl w:val="0"/>
          <w:numId w:val="29"/>
        </w:numPr>
      </w:pPr>
      <w:r w:rsidRPr="00B50DFB">
        <w:t>numberOfTotalRemovalContainers_quote</w:t>
      </w:r>
    </w:p>
    <w:p w:rsidR="002F37BE" w:rsidRPr="00B50DFB" w:rsidRDefault="002F37BE" w:rsidP="002F37BE">
      <w:pPr>
        <w:pStyle w:val="NoSpacing"/>
        <w:numPr>
          <w:ilvl w:val="0"/>
          <w:numId w:val="29"/>
        </w:numPr>
      </w:pPr>
      <w:r w:rsidRPr="00B50DFB">
        <w:t>oneTime_exchangeCustomerDiscount_quote</w:t>
      </w:r>
    </w:p>
    <w:p w:rsidR="002F37BE" w:rsidRPr="00353B7A" w:rsidRDefault="002F37BE"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5" w:name="_Toc410897125"/>
      <w:r w:rsidRPr="00353B7A">
        <w:rPr>
          <w:rFonts w:asciiTheme="minorHAnsi" w:hAnsiTheme="minorHAnsi"/>
        </w:rPr>
        <w:t>Report Changes</w:t>
      </w:r>
      <w:bookmarkEnd w:id="25"/>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26" w:name="_Toc410897126"/>
      <w:r w:rsidRPr="00353B7A">
        <w:rPr>
          <w:rFonts w:asciiTheme="minorHAnsi" w:hAnsiTheme="minorHAnsi"/>
        </w:rPr>
        <w:t>Appendix</w:t>
      </w:r>
      <w:bookmarkEnd w:id="26"/>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24"/>
      <w:footerReference w:type="default" r:id="rId25"/>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D5F" w:rsidRDefault="004F2D5F">
      <w:r>
        <w:separator/>
      </w:r>
    </w:p>
  </w:endnote>
  <w:endnote w:type="continuationSeparator" w:id="0">
    <w:p w:rsidR="004F2D5F" w:rsidRDefault="004F2D5F">
      <w:r>
        <w:continuationSeparator/>
      </w:r>
    </w:p>
  </w:endnote>
  <w:endnote w:type="continuationNotice" w:id="1">
    <w:p w:rsidR="004F2D5F" w:rsidRDefault="004F2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4F2D5F"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2F37BE">
      <w:rPr>
        <w:noProof/>
      </w:rPr>
      <w:t>2/6/2015 7:24:51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2F37BE">
      <w:rPr>
        <w:rStyle w:val="PageNumber"/>
        <w:rFonts w:ascii="Arial" w:hAnsi="Arial" w:cs="Arial"/>
        <w:b w:val="0"/>
        <w:i/>
        <w:noProof/>
        <w:sz w:val="16"/>
        <w:szCs w:val="16"/>
      </w:rPr>
      <w:t>8</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D5F" w:rsidRDefault="004F2D5F">
      <w:r>
        <w:separator/>
      </w:r>
    </w:p>
  </w:footnote>
  <w:footnote w:type="continuationSeparator" w:id="0">
    <w:p w:rsidR="004F2D5F" w:rsidRDefault="004F2D5F">
      <w:r>
        <w:continuationSeparator/>
      </w:r>
    </w:p>
  </w:footnote>
  <w:footnote w:type="continuationNotice" w:id="1">
    <w:p w:rsidR="004F2D5F" w:rsidRDefault="004F2D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cloud.githubusercontent.com/assets/9746456/5860086/3b224522-a21c-11e4-8af6-2498263d0519.p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cloud.githubusercontent.com/assets/9746456/5859937/57f85304-a21b-11e4-929c-a1daa3906149.png" TargetMode="External"/><Relationship Id="rId20" Type="http://schemas.openxmlformats.org/officeDocument/2006/relationships/hyperlink" Target="https://cloud.githubusercontent.com/assets/9746456/5860063/1d1c9a28-a21c-11e4-8c27-c2e0890d7cb1.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cloud.githubusercontent.com/assets/9746456/5860067/25ebde5c-a21c-11e4-8a27-8fb8f043fc32.p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577050DA-BF83-4C14-9203-5CE28AC9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6</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53</cp:revision>
  <cp:lastPrinted>2012-12-07T17:42:00Z</cp:lastPrinted>
  <dcterms:created xsi:type="dcterms:W3CDTF">2014-11-21T16:57:00Z</dcterms:created>
  <dcterms:modified xsi:type="dcterms:W3CDTF">2015-02-06T14:25:00Z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