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6C54CB" w:rsidRDefault="00A910C9" w:rsidP="00AC2330">
      <w:pPr>
        <w:tabs>
          <w:tab w:val="left" w:pos="5850"/>
        </w:tabs>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Large Container Disposal Changes</w:t>
      </w:r>
      <w:r w:rsidR="00FC1CBB">
        <w:rPr>
          <w:rFonts w:asciiTheme="minorHAnsi" w:hAnsiTheme="minorHAnsi"/>
          <w:b/>
          <w:kern w:val="28"/>
          <w:sz w:val="40"/>
        </w:rPr>
        <w:t xml:space="preserve"> 3</w:t>
      </w:r>
      <w:r>
        <w:rPr>
          <w:rFonts w:asciiTheme="minorHAnsi" w:hAnsiTheme="minorHAnsi"/>
          <w:b/>
          <w:kern w:val="28"/>
          <w:sz w:val="40"/>
        </w:rPr>
        <w:t xml:space="preserve">: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C2330" w:rsidP="00510A21">
      <w:pPr>
        <w:jc w:val="center"/>
        <w:rPr>
          <w:rFonts w:asciiTheme="minorHAnsi" w:hAnsiTheme="minorHAnsi"/>
          <w:b/>
          <w:kern w:val="28"/>
          <w:sz w:val="40"/>
        </w:rPr>
      </w:pPr>
      <w:r>
        <w:rPr>
          <w:rFonts w:asciiTheme="minorHAnsi" w:hAnsiTheme="minorHAnsi"/>
          <w:b/>
          <w:kern w:val="28"/>
          <w:sz w:val="40"/>
        </w:rPr>
        <w:t>GH 5</w:t>
      </w:r>
      <w:r w:rsidR="00FC1CBB">
        <w:rPr>
          <w:rFonts w:asciiTheme="minorHAnsi" w:hAnsiTheme="minorHAnsi"/>
          <w:b/>
          <w:kern w:val="28"/>
          <w:sz w:val="40"/>
        </w:rPr>
        <w:t>95</w:t>
      </w:r>
      <w:r>
        <w:rPr>
          <w:rFonts w:asciiTheme="minorHAnsi" w:hAnsiTheme="minorHAnsi"/>
          <w:b/>
          <w:kern w:val="28"/>
          <w:sz w:val="40"/>
        </w:rPr>
        <w:t xml:space="preserve"> - </w:t>
      </w:r>
      <w:r w:rsidR="00AB4CC9">
        <w:rPr>
          <w:rFonts w:asciiTheme="minorHAnsi" w:hAnsiTheme="minorHAnsi"/>
          <w:b/>
          <w:kern w:val="28"/>
          <w:sz w:val="40"/>
        </w:rPr>
        <w:t xml:space="preserve">CR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FC1CBB" w:rsidRPr="006C54CB" w:rsidTr="00857CE8">
        <w:tc>
          <w:tcPr>
            <w:tcW w:w="1278" w:type="dxa"/>
          </w:tcPr>
          <w:p w:rsidR="00FC1CBB" w:rsidRDefault="00FC1CBB" w:rsidP="00FC1CBB">
            <w:pPr>
              <w:pStyle w:val="TableText"/>
              <w:jc w:val="both"/>
              <w:rPr>
                <w:rFonts w:asciiTheme="minorHAnsi" w:hAnsiTheme="minorHAnsi"/>
              </w:rPr>
            </w:pPr>
            <w:r>
              <w:rPr>
                <w:rFonts w:asciiTheme="minorHAnsi" w:hAnsiTheme="minorHAnsi"/>
              </w:rPr>
              <w:t>5/7/2015</w:t>
            </w:r>
          </w:p>
        </w:tc>
        <w:tc>
          <w:tcPr>
            <w:tcW w:w="1080" w:type="dxa"/>
          </w:tcPr>
          <w:p w:rsidR="00FC1CBB" w:rsidRDefault="00FC1CBB" w:rsidP="00FC1CBB">
            <w:pPr>
              <w:pStyle w:val="TableText"/>
              <w:jc w:val="both"/>
              <w:rPr>
                <w:rFonts w:asciiTheme="minorHAnsi" w:hAnsiTheme="minorHAnsi"/>
              </w:rPr>
            </w:pPr>
            <w:r>
              <w:rPr>
                <w:rFonts w:asciiTheme="minorHAnsi" w:hAnsiTheme="minorHAnsi"/>
              </w:rPr>
              <w:t>1.0</w:t>
            </w:r>
          </w:p>
        </w:tc>
        <w:tc>
          <w:tcPr>
            <w:tcW w:w="3814" w:type="dxa"/>
          </w:tcPr>
          <w:p w:rsidR="00FC1CBB" w:rsidRDefault="00FC1CBB" w:rsidP="00FC1CBB">
            <w:pPr>
              <w:pStyle w:val="TableText"/>
              <w:rPr>
                <w:rFonts w:asciiTheme="minorHAnsi" w:hAnsiTheme="minorHAnsi"/>
              </w:rPr>
            </w:pPr>
            <w:r>
              <w:rPr>
                <w:rFonts w:asciiTheme="minorHAnsi" w:hAnsiTheme="minorHAnsi"/>
              </w:rPr>
              <w:t>Initial Document</w:t>
            </w:r>
          </w:p>
        </w:tc>
        <w:tc>
          <w:tcPr>
            <w:tcW w:w="2576" w:type="dxa"/>
          </w:tcPr>
          <w:p w:rsidR="00FC1CBB" w:rsidRDefault="00FC1CBB" w:rsidP="00FC1CBB">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256FB6" w:rsidRPr="006C54CB" w:rsidRDefault="00256FB6" w:rsidP="009801F1">
            <w:pPr>
              <w:pStyle w:val="TableText"/>
              <w:widowControl/>
              <w:jc w:val="both"/>
              <w:rPr>
                <w:rFonts w:asciiTheme="minorHAnsi" w:hAnsiTheme="minorHAnsi"/>
              </w:rPr>
            </w:pPr>
          </w:p>
        </w:tc>
        <w:tc>
          <w:tcPr>
            <w:tcW w:w="1080" w:type="dxa"/>
          </w:tcPr>
          <w:p w:rsidR="009801F1" w:rsidRPr="006C54CB" w:rsidRDefault="009801F1" w:rsidP="009801F1">
            <w:pPr>
              <w:pStyle w:val="TableText"/>
              <w:widowControl/>
              <w:jc w:val="both"/>
              <w:rPr>
                <w:rFonts w:asciiTheme="minorHAnsi" w:hAnsiTheme="minorHAnsi"/>
              </w:rPr>
            </w:pPr>
          </w:p>
        </w:tc>
        <w:tc>
          <w:tcPr>
            <w:tcW w:w="3814" w:type="dxa"/>
          </w:tcPr>
          <w:p w:rsidR="009801F1" w:rsidRPr="006C54CB" w:rsidRDefault="009801F1" w:rsidP="009801F1">
            <w:pPr>
              <w:pStyle w:val="TableText"/>
              <w:widowControl/>
              <w:rPr>
                <w:rFonts w:asciiTheme="minorHAnsi" w:hAnsiTheme="minorHAnsi"/>
              </w:rPr>
            </w:pPr>
          </w:p>
        </w:tc>
        <w:tc>
          <w:tcPr>
            <w:tcW w:w="2576" w:type="dxa"/>
          </w:tcPr>
          <w:p w:rsidR="009801F1" w:rsidRPr="006C54CB" w:rsidRDefault="009801F1" w:rsidP="009801F1">
            <w:pPr>
              <w:pStyle w:val="TableText"/>
              <w:widowControl/>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r w:rsidR="00324890" w:rsidRPr="006C54CB" w:rsidTr="00857CE8">
        <w:tc>
          <w:tcPr>
            <w:tcW w:w="1278" w:type="dxa"/>
          </w:tcPr>
          <w:p w:rsidR="00324890" w:rsidRDefault="00324890" w:rsidP="009801F1">
            <w:pPr>
              <w:pStyle w:val="TableText"/>
              <w:jc w:val="both"/>
              <w:rPr>
                <w:rFonts w:asciiTheme="minorHAnsi" w:hAnsiTheme="minorHAnsi"/>
              </w:rPr>
            </w:pPr>
          </w:p>
        </w:tc>
        <w:tc>
          <w:tcPr>
            <w:tcW w:w="1080" w:type="dxa"/>
          </w:tcPr>
          <w:p w:rsidR="00324890" w:rsidRDefault="00324890" w:rsidP="009801F1">
            <w:pPr>
              <w:pStyle w:val="TableText"/>
              <w:jc w:val="both"/>
              <w:rPr>
                <w:rFonts w:asciiTheme="minorHAnsi" w:hAnsiTheme="minorHAnsi"/>
              </w:rPr>
            </w:pPr>
          </w:p>
        </w:tc>
        <w:tc>
          <w:tcPr>
            <w:tcW w:w="3814" w:type="dxa"/>
          </w:tcPr>
          <w:p w:rsidR="00324890" w:rsidRDefault="00324890" w:rsidP="009801F1">
            <w:pPr>
              <w:pStyle w:val="TableText"/>
              <w:rPr>
                <w:rFonts w:asciiTheme="minorHAnsi" w:hAnsiTheme="minorHAnsi"/>
              </w:rPr>
            </w:pPr>
          </w:p>
        </w:tc>
        <w:tc>
          <w:tcPr>
            <w:tcW w:w="2576" w:type="dxa"/>
          </w:tcPr>
          <w:p w:rsidR="00324890" w:rsidRDefault="00324890"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C4020" w:rsidRDefault="000C4020" w:rsidP="00A910C9">
                      <w:pPr>
                        <w:jc w:val="center"/>
                        <w:rPr>
                          <w:rFonts w:ascii="Arial" w:hAnsi="Arial" w:cs="Arial"/>
                        </w:rPr>
                      </w:pPr>
                    </w:p>
                    <w:p w:rsidR="000C4020" w:rsidRDefault="000C402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C4020" w:rsidRDefault="000C4020" w:rsidP="00A910C9">
                      <w:pPr>
                        <w:jc w:val="center"/>
                        <w:rPr>
                          <w:rFonts w:ascii="Arial" w:hAnsi="Arial" w:cs="Arial"/>
                        </w:rPr>
                      </w:pPr>
                      <w:r>
                        <w:rPr>
                          <w:rFonts w:ascii="Arial" w:hAnsi="Arial" w:cs="Arial"/>
                        </w:rPr>
                        <w:t>/</w:t>
                      </w:r>
                    </w:p>
                    <w:p w:rsidR="000C4020" w:rsidRDefault="000C4020" w:rsidP="00A910C9">
                      <w:pPr>
                        <w:jc w:val="center"/>
                        <w:rPr>
                          <w:rFonts w:ascii="Arial" w:hAnsi="Arial" w:cs="Arial"/>
                        </w:rPr>
                      </w:pPr>
                      <w:r>
                        <w:rPr>
                          <w:rFonts w:ascii="Arial" w:hAnsi="Arial" w:cs="Arial"/>
                        </w:rPr>
                        <w:t>© Copyright 2012, Republic Services Inc. - All rights reserved.</w:t>
                      </w:r>
                    </w:p>
                    <w:p w:rsidR="000C4020" w:rsidRDefault="000C4020"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F40290"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F40290" w:rsidRPr="00093681">
        <w:rPr>
          <w:rFonts w:asciiTheme="minorHAnsi" w:hAnsiTheme="minorHAnsi"/>
          <w:noProof/>
        </w:rPr>
        <w:t>1</w:t>
      </w:r>
      <w:r w:rsidR="00F40290">
        <w:rPr>
          <w:rFonts w:asciiTheme="minorHAnsi" w:eastAsiaTheme="minorEastAsia" w:hAnsiTheme="minorHAnsi" w:cstheme="minorBidi"/>
          <w:b w:val="0"/>
          <w:caps w:val="0"/>
          <w:noProof/>
          <w:sz w:val="22"/>
          <w:szCs w:val="22"/>
        </w:rPr>
        <w:tab/>
      </w:r>
      <w:r w:rsidR="00F40290" w:rsidRPr="00093681">
        <w:rPr>
          <w:rFonts w:asciiTheme="minorHAnsi" w:hAnsiTheme="minorHAnsi"/>
          <w:noProof/>
        </w:rPr>
        <w:t>Business Requirements</w:t>
      </w:r>
      <w:r w:rsidR="00F40290">
        <w:rPr>
          <w:noProof/>
        </w:rPr>
        <w:tab/>
      </w:r>
      <w:r w:rsidR="00F40290">
        <w:rPr>
          <w:noProof/>
        </w:rPr>
        <w:fldChar w:fldCharType="begin"/>
      </w:r>
      <w:r w:rsidR="00F40290">
        <w:rPr>
          <w:noProof/>
        </w:rPr>
        <w:instrText xml:space="preserve"> PAGEREF _Toc419460394 \h </w:instrText>
      </w:r>
      <w:r w:rsidR="00F40290">
        <w:rPr>
          <w:noProof/>
        </w:rPr>
      </w:r>
      <w:r w:rsidR="00F40290">
        <w:rPr>
          <w:noProof/>
        </w:rPr>
        <w:fldChar w:fldCharType="separate"/>
      </w:r>
      <w:r w:rsidR="00F40290">
        <w:rPr>
          <w:noProof/>
        </w:rPr>
        <w:t>6</w:t>
      </w:r>
      <w:r w:rsidR="00F40290">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1.1</w:t>
      </w:r>
      <w:r>
        <w:rPr>
          <w:rFonts w:asciiTheme="minorHAnsi" w:eastAsiaTheme="minorEastAsia" w:hAnsiTheme="minorHAnsi" w:cstheme="minorBidi"/>
          <w:smallCaps w:val="0"/>
          <w:noProof/>
          <w:sz w:val="22"/>
          <w:szCs w:val="22"/>
        </w:rPr>
        <w:tab/>
      </w:r>
      <w:r w:rsidRPr="00093681">
        <w:rPr>
          <w:rFonts w:asciiTheme="minorHAnsi" w:hAnsiTheme="minorHAnsi"/>
          <w:noProof/>
        </w:rPr>
        <w:t>Purpose of the Design Specification</w:t>
      </w:r>
      <w:r>
        <w:rPr>
          <w:noProof/>
        </w:rPr>
        <w:tab/>
      </w:r>
      <w:r>
        <w:rPr>
          <w:noProof/>
        </w:rPr>
        <w:fldChar w:fldCharType="begin"/>
      </w:r>
      <w:r>
        <w:rPr>
          <w:noProof/>
        </w:rPr>
        <w:instrText xml:space="preserve"> PAGEREF _Toc419460395 \h </w:instrText>
      </w:r>
      <w:r>
        <w:rPr>
          <w:noProof/>
        </w:rPr>
      </w:r>
      <w:r>
        <w:rPr>
          <w:noProof/>
        </w:rPr>
        <w:fldChar w:fldCharType="separate"/>
      </w:r>
      <w:r>
        <w:rPr>
          <w:noProof/>
        </w:rPr>
        <w:t>6</w:t>
      </w:r>
      <w:r>
        <w:rPr>
          <w:noProof/>
        </w:rPr>
        <w:fldChar w:fldCharType="end"/>
      </w:r>
    </w:p>
    <w:p w:rsidR="00F40290" w:rsidRDefault="00F40290">
      <w:pPr>
        <w:pStyle w:val="TOC3"/>
        <w:tabs>
          <w:tab w:val="left" w:pos="1100"/>
          <w:tab w:val="right" w:leader="dot" w:pos="8990"/>
        </w:tabs>
        <w:rPr>
          <w:rFonts w:asciiTheme="minorHAnsi" w:eastAsiaTheme="minorEastAsia" w:hAnsiTheme="minorHAnsi" w:cstheme="minorBidi"/>
          <w:noProof/>
          <w:sz w:val="22"/>
          <w:szCs w:val="22"/>
        </w:rPr>
      </w:pPr>
      <w:r w:rsidRPr="00093681">
        <w:rPr>
          <w:rFonts w:asciiTheme="minorHAnsi" w:hAnsiTheme="minorHAnsi"/>
          <w:noProof/>
        </w:rPr>
        <w:t>1.1.1</w:t>
      </w:r>
      <w:r>
        <w:rPr>
          <w:rFonts w:asciiTheme="minorHAnsi" w:eastAsiaTheme="minorEastAsia" w:hAnsiTheme="minorHAnsi" w:cstheme="minorBidi"/>
          <w:noProof/>
          <w:sz w:val="22"/>
          <w:szCs w:val="22"/>
        </w:rPr>
        <w:tab/>
      </w:r>
      <w:r w:rsidRPr="00093681">
        <w:rPr>
          <w:rFonts w:asciiTheme="minorHAnsi" w:hAnsiTheme="minorHAnsi"/>
          <w:noProof/>
        </w:rPr>
        <w:t>Business Functional Requirements / Configuration</w:t>
      </w:r>
      <w:r>
        <w:rPr>
          <w:noProof/>
        </w:rPr>
        <w:tab/>
      </w:r>
      <w:r>
        <w:rPr>
          <w:noProof/>
        </w:rPr>
        <w:fldChar w:fldCharType="begin"/>
      </w:r>
      <w:r>
        <w:rPr>
          <w:noProof/>
        </w:rPr>
        <w:instrText xml:space="preserve"> PAGEREF _Toc419460396 \h </w:instrText>
      </w:r>
      <w:r>
        <w:rPr>
          <w:noProof/>
        </w:rPr>
      </w:r>
      <w:r>
        <w:rPr>
          <w:noProof/>
        </w:rPr>
        <w:fldChar w:fldCharType="separate"/>
      </w:r>
      <w:r>
        <w:rPr>
          <w:noProof/>
        </w:rPr>
        <w:t>6</w:t>
      </w:r>
      <w:r>
        <w:rPr>
          <w:noProof/>
        </w:rPr>
        <w:fldChar w:fldCharType="end"/>
      </w:r>
    </w:p>
    <w:p w:rsidR="00F40290" w:rsidRDefault="00F40290">
      <w:pPr>
        <w:pStyle w:val="TOC3"/>
        <w:tabs>
          <w:tab w:val="left" w:pos="1100"/>
          <w:tab w:val="right" w:leader="dot" w:pos="8990"/>
        </w:tabs>
        <w:rPr>
          <w:rFonts w:asciiTheme="minorHAnsi" w:eastAsiaTheme="minorEastAsia" w:hAnsiTheme="minorHAnsi" w:cstheme="minorBidi"/>
          <w:noProof/>
          <w:sz w:val="22"/>
          <w:szCs w:val="22"/>
        </w:rPr>
      </w:pPr>
      <w:r w:rsidRPr="00093681">
        <w:rPr>
          <w:rFonts w:asciiTheme="minorHAnsi" w:hAnsiTheme="minorHAnsi"/>
          <w:noProof/>
        </w:rPr>
        <w:t>1.1.2</w:t>
      </w:r>
      <w:r>
        <w:rPr>
          <w:rFonts w:asciiTheme="minorHAnsi" w:eastAsiaTheme="minorEastAsia" w:hAnsiTheme="minorHAnsi" w:cstheme="minorBidi"/>
          <w:noProof/>
          <w:sz w:val="22"/>
          <w:szCs w:val="22"/>
        </w:rPr>
        <w:tab/>
      </w:r>
      <w:r w:rsidRPr="00093681">
        <w:rPr>
          <w:rFonts w:asciiTheme="minorHAnsi" w:hAnsiTheme="minorHAnsi"/>
          <w:noProof/>
        </w:rPr>
        <w:t>Technical Design Requirements</w:t>
      </w:r>
      <w:r>
        <w:rPr>
          <w:noProof/>
        </w:rPr>
        <w:tab/>
      </w:r>
      <w:r>
        <w:rPr>
          <w:noProof/>
        </w:rPr>
        <w:fldChar w:fldCharType="begin"/>
      </w:r>
      <w:r>
        <w:rPr>
          <w:noProof/>
        </w:rPr>
        <w:instrText xml:space="preserve"> PAGEREF _Toc419460397 \h </w:instrText>
      </w:r>
      <w:r>
        <w:rPr>
          <w:noProof/>
        </w:rPr>
      </w:r>
      <w:r>
        <w:rPr>
          <w:noProof/>
        </w:rPr>
        <w:fldChar w:fldCharType="separate"/>
      </w:r>
      <w:r>
        <w:rPr>
          <w:noProof/>
        </w:rPr>
        <w:t>7</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2</w:t>
      </w:r>
      <w:r>
        <w:rPr>
          <w:rFonts w:asciiTheme="minorHAnsi" w:eastAsiaTheme="minorEastAsia" w:hAnsiTheme="minorHAnsi" w:cstheme="minorBidi"/>
          <w:b w:val="0"/>
          <w:caps w:val="0"/>
          <w:noProof/>
          <w:sz w:val="22"/>
          <w:szCs w:val="22"/>
        </w:rPr>
        <w:tab/>
      </w:r>
      <w:r w:rsidRPr="00093681">
        <w:rPr>
          <w:rFonts w:asciiTheme="minorHAnsi" w:hAnsiTheme="minorHAnsi"/>
          <w:noProof/>
        </w:rPr>
        <w:t>Assumptions</w:t>
      </w:r>
      <w:r>
        <w:rPr>
          <w:noProof/>
        </w:rPr>
        <w:tab/>
      </w:r>
      <w:r>
        <w:rPr>
          <w:noProof/>
        </w:rPr>
        <w:fldChar w:fldCharType="begin"/>
      </w:r>
      <w:r>
        <w:rPr>
          <w:noProof/>
        </w:rPr>
        <w:instrText xml:space="preserve"> PAGEREF _Toc419460398 \h </w:instrText>
      </w:r>
      <w:r>
        <w:rPr>
          <w:noProof/>
        </w:rPr>
      </w:r>
      <w:r>
        <w:rPr>
          <w:noProof/>
        </w:rPr>
        <w:fldChar w:fldCharType="separate"/>
      </w:r>
      <w:r>
        <w:rPr>
          <w:noProof/>
        </w:rPr>
        <w:t>7</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3</w:t>
      </w:r>
      <w:r>
        <w:rPr>
          <w:rFonts w:asciiTheme="minorHAnsi" w:eastAsiaTheme="minorEastAsia" w:hAnsiTheme="minorHAnsi" w:cstheme="minorBidi"/>
          <w:b w:val="0"/>
          <w:caps w:val="0"/>
          <w:noProof/>
          <w:sz w:val="22"/>
          <w:szCs w:val="22"/>
        </w:rPr>
        <w:tab/>
      </w:r>
      <w:r w:rsidRPr="00093681">
        <w:rPr>
          <w:rFonts w:asciiTheme="minorHAnsi" w:hAnsiTheme="minorHAnsi"/>
          <w:noProof/>
        </w:rPr>
        <w:t>Technical Design</w:t>
      </w:r>
      <w:r>
        <w:rPr>
          <w:noProof/>
        </w:rPr>
        <w:tab/>
      </w:r>
      <w:r>
        <w:rPr>
          <w:noProof/>
        </w:rPr>
        <w:fldChar w:fldCharType="begin"/>
      </w:r>
      <w:r>
        <w:rPr>
          <w:noProof/>
        </w:rPr>
        <w:instrText xml:space="preserve"> PAGEREF _Toc419460399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3.1</w:t>
      </w:r>
      <w:r>
        <w:rPr>
          <w:rFonts w:asciiTheme="minorHAnsi" w:eastAsiaTheme="minorEastAsia" w:hAnsiTheme="minorHAnsi" w:cstheme="minorBidi"/>
          <w:smallCaps w:val="0"/>
          <w:noProof/>
          <w:sz w:val="22"/>
          <w:szCs w:val="22"/>
        </w:rPr>
        <w:tab/>
      </w:r>
      <w:r w:rsidRPr="00093681">
        <w:rPr>
          <w:rFonts w:asciiTheme="minorHAnsi" w:hAnsiTheme="minorHAnsi"/>
          <w:noProof/>
        </w:rPr>
        <w:t>Referenced Documents</w:t>
      </w:r>
      <w:r>
        <w:rPr>
          <w:noProof/>
        </w:rPr>
        <w:tab/>
      </w:r>
      <w:r>
        <w:rPr>
          <w:noProof/>
        </w:rPr>
        <w:fldChar w:fldCharType="begin"/>
      </w:r>
      <w:r>
        <w:rPr>
          <w:noProof/>
        </w:rPr>
        <w:instrText xml:space="preserve"> PAGEREF _Toc419460400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3.2</w:t>
      </w:r>
      <w:r>
        <w:rPr>
          <w:rFonts w:asciiTheme="minorHAnsi" w:eastAsiaTheme="minorEastAsia" w:hAnsiTheme="minorHAnsi" w:cstheme="minorBidi"/>
          <w:smallCaps w:val="0"/>
          <w:noProof/>
          <w:sz w:val="22"/>
          <w:szCs w:val="22"/>
        </w:rPr>
        <w:tab/>
      </w:r>
      <w:r w:rsidRPr="00093681">
        <w:rPr>
          <w:rFonts w:asciiTheme="minorHAnsi" w:hAnsiTheme="minorHAnsi"/>
          <w:noProof/>
        </w:rPr>
        <w:t>Process Flow and Mock Ups</w:t>
      </w:r>
      <w:r>
        <w:rPr>
          <w:noProof/>
        </w:rPr>
        <w:tab/>
      </w:r>
      <w:r>
        <w:rPr>
          <w:noProof/>
        </w:rPr>
        <w:fldChar w:fldCharType="begin"/>
      </w:r>
      <w:r>
        <w:rPr>
          <w:noProof/>
        </w:rPr>
        <w:instrText xml:space="preserve"> PAGEREF _Toc419460401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3.3</w:t>
      </w:r>
      <w:r>
        <w:rPr>
          <w:rFonts w:asciiTheme="minorHAnsi" w:eastAsiaTheme="minorEastAsia" w:hAnsiTheme="minorHAnsi" w:cstheme="minorBidi"/>
          <w:smallCaps w:val="0"/>
          <w:noProof/>
          <w:sz w:val="22"/>
          <w:szCs w:val="22"/>
        </w:rPr>
        <w:tab/>
      </w:r>
      <w:r w:rsidRPr="00093681">
        <w:rPr>
          <w:rFonts w:asciiTheme="minorHAnsi" w:hAnsiTheme="minorHAnsi"/>
          <w:noProof/>
        </w:rPr>
        <w:t>Changes to Capture tables</w:t>
      </w:r>
      <w:r>
        <w:rPr>
          <w:noProof/>
        </w:rPr>
        <w:tab/>
      </w:r>
      <w:r>
        <w:rPr>
          <w:noProof/>
        </w:rPr>
        <w:fldChar w:fldCharType="begin"/>
      </w:r>
      <w:r>
        <w:rPr>
          <w:noProof/>
        </w:rPr>
        <w:instrText xml:space="preserve"> PAGEREF _Toc419460402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3.4</w:t>
      </w:r>
      <w:r>
        <w:rPr>
          <w:rFonts w:asciiTheme="minorHAnsi" w:eastAsiaTheme="minorEastAsia" w:hAnsiTheme="minorHAnsi" w:cstheme="minorBidi"/>
          <w:smallCaps w:val="0"/>
          <w:noProof/>
          <w:sz w:val="22"/>
          <w:szCs w:val="22"/>
        </w:rPr>
        <w:tab/>
      </w:r>
      <w:r w:rsidRPr="00093681">
        <w:rPr>
          <w:rFonts w:asciiTheme="minorHAnsi" w:hAnsiTheme="minorHAnsi"/>
          <w:noProof/>
        </w:rPr>
        <w:t>Changes to Pricing formulas</w:t>
      </w:r>
      <w:r>
        <w:rPr>
          <w:noProof/>
        </w:rPr>
        <w:tab/>
      </w:r>
      <w:r>
        <w:rPr>
          <w:noProof/>
        </w:rPr>
        <w:fldChar w:fldCharType="begin"/>
      </w:r>
      <w:r>
        <w:rPr>
          <w:noProof/>
        </w:rPr>
        <w:instrText xml:space="preserve"> PAGEREF _Toc419460403 \h </w:instrText>
      </w:r>
      <w:r>
        <w:rPr>
          <w:noProof/>
        </w:rPr>
      </w:r>
      <w:r>
        <w:rPr>
          <w:noProof/>
        </w:rPr>
        <w:fldChar w:fldCharType="separate"/>
      </w:r>
      <w:r>
        <w:rPr>
          <w:noProof/>
        </w:rPr>
        <w:t>7</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sidRPr="00093681">
        <w:rPr>
          <w:rFonts w:asciiTheme="minorHAnsi" w:hAnsiTheme="minorHAnsi"/>
          <w:noProof/>
        </w:rPr>
        <w:t>3.5</w:t>
      </w:r>
      <w:r>
        <w:rPr>
          <w:rFonts w:asciiTheme="minorHAnsi" w:eastAsiaTheme="minorEastAsia" w:hAnsiTheme="minorHAnsi" w:cstheme="minorBidi"/>
          <w:smallCaps w:val="0"/>
          <w:noProof/>
          <w:sz w:val="22"/>
          <w:szCs w:val="22"/>
        </w:rPr>
        <w:tab/>
      </w:r>
      <w:r w:rsidRPr="00093681">
        <w:rPr>
          <w:rFonts w:asciiTheme="minorHAnsi" w:hAnsiTheme="minorHAnsi"/>
          <w:noProof/>
        </w:rPr>
        <w:t>Data Sources &amp; Mapping</w:t>
      </w:r>
      <w:r>
        <w:rPr>
          <w:noProof/>
        </w:rPr>
        <w:tab/>
      </w:r>
      <w:r>
        <w:rPr>
          <w:noProof/>
        </w:rPr>
        <w:fldChar w:fldCharType="begin"/>
      </w:r>
      <w:r>
        <w:rPr>
          <w:noProof/>
        </w:rPr>
        <w:instrText xml:space="preserve"> PAGEREF _Toc419460404 \h </w:instrText>
      </w:r>
      <w:r>
        <w:rPr>
          <w:noProof/>
        </w:rPr>
      </w:r>
      <w:r>
        <w:rPr>
          <w:noProof/>
        </w:rPr>
        <w:fldChar w:fldCharType="separate"/>
      </w:r>
      <w:r>
        <w:rPr>
          <w:noProof/>
        </w:rPr>
        <w:t>8</w:t>
      </w:r>
      <w:r>
        <w:rPr>
          <w:noProof/>
        </w:rPr>
        <w:fldChar w:fldCharType="end"/>
      </w:r>
    </w:p>
    <w:p w:rsidR="00F40290" w:rsidRDefault="00F40290">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093681">
        <w:rPr>
          <w:rFonts w:asciiTheme="minorHAnsi" w:hAnsiTheme="minorHAnsi"/>
          <w:noProof/>
        </w:rPr>
        <w:t>InfoPro Int</w:t>
      </w:r>
      <w:r>
        <w:rPr>
          <w:noProof/>
        </w:rPr>
        <w:tab/>
      </w:r>
      <w:r>
        <w:rPr>
          <w:noProof/>
        </w:rPr>
        <w:fldChar w:fldCharType="begin"/>
      </w:r>
      <w:r>
        <w:rPr>
          <w:noProof/>
        </w:rPr>
        <w:instrText xml:space="preserve"> PAGEREF _Toc419460405 \h </w:instrText>
      </w:r>
      <w:r>
        <w:rPr>
          <w:noProof/>
        </w:rPr>
      </w:r>
      <w:r>
        <w:rPr>
          <w:noProof/>
        </w:rPr>
        <w:fldChar w:fldCharType="separate"/>
      </w:r>
      <w:r>
        <w:rPr>
          <w:noProof/>
        </w:rPr>
        <w:t>8</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4</w:t>
      </w:r>
      <w:r>
        <w:rPr>
          <w:rFonts w:asciiTheme="minorHAnsi" w:eastAsiaTheme="minorEastAsia" w:hAnsiTheme="minorHAnsi" w:cstheme="minorBidi"/>
          <w:b w:val="0"/>
          <w:caps w:val="0"/>
          <w:noProof/>
          <w:sz w:val="22"/>
          <w:szCs w:val="22"/>
        </w:rPr>
        <w:tab/>
      </w:r>
      <w:r w:rsidRPr="00093681">
        <w:rPr>
          <w:rFonts w:asciiTheme="minorHAnsi" w:hAnsiTheme="minorHAnsi"/>
          <w:noProof/>
        </w:rPr>
        <w:t>Report Changes</w:t>
      </w:r>
      <w:r>
        <w:rPr>
          <w:noProof/>
        </w:rPr>
        <w:tab/>
      </w:r>
      <w:r>
        <w:rPr>
          <w:noProof/>
        </w:rPr>
        <w:fldChar w:fldCharType="begin"/>
      </w:r>
      <w:r>
        <w:rPr>
          <w:noProof/>
        </w:rPr>
        <w:instrText xml:space="preserve"> PAGEREF _Toc419460406 \h </w:instrText>
      </w:r>
      <w:r>
        <w:rPr>
          <w:noProof/>
        </w:rPr>
      </w:r>
      <w:r>
        <w:rPr>
          <w:noProof/>
        </w:rPr>
        <w:fldChar w:fldCharType="separate"/>
      </w:r>
      <w:r>
        <w:rPr>
          <w:noProof/>
        </w:rPr>
        <w:t>8</w:t>
      </w:r>
      <w:r>
        <w:rPr>
          <w:noProof/>
        </w:rPr>
        <w:fldChar w:fldCharType="end"/>
      </w:r>
    </w:p>
    <w:p w:rsidR="00F40290" w:rsidRDefault="00F40290">
      <w:pPr>
        <w:pStyle w:val="TOC1"/>
        <w:tabs>
          <w:tab w:val="left" w:pos="400"/>
        </w:tabs>
        <w:rPr>
          <w:rFonts w:asciiTheme="minorHAnsi" w:eastAsiaTheme="minorEastAsia" w:hAnsiTheme="minorHAnsi" w:cstheme="minorBidi"/>
          <w:b w:val="0"/>
          <w:caps w:val="0"/>
          <w:noProof/>
          <w:sz w:val="22"/>
          <w:szCs w:val="22"/>
        </w:rPr>
      </w:pPr>
      <w:r w:rsidRPr="00093681">
        <w:rPr>
          <w:rFonts w:asciiTheme="minorHAnsi" w:hAnsiTheme="minorHAnsi"/>
          <w:noProof/>
        </w:rPr>
        <w:t>5</w:t>
      </w:r>
      <w:r>
        <w:rPr>
          <w:rFonts w:asciiTheme="minorHAnsi" w:eastAsiaTheme="minorEastAsia" w:hAnsiTheme="minorHAnsi" w:cstheme="minorBidi"/>
          <w:b w:val="0"/>
          <w:caps w:val="0"/>
          <w:noProof/>
          <w:sz w:val="22"/>
          <w:szCs w:val="22"/>
        </w:rPr>
        <w:tab/>
      </w:r>
      <w:r w:rsidRPr="00093681">
        <w:rPr>
          <w:rFonts w:asciiTheme="minorHAnsi" w:hAnsiTheme="minorHAnsi"/>
          <w:noProof/>
        </w:rPr>
        <w:t>Appendix</w:t>
      </w:r>
      <w:r>
        <w:rPr>
          <w:noProof/>
        </w:rPr>
        <w:tab/>
      </w:r>
      <w:r>
        <w:rPr>
          <w:noProof/>
        </w:rPr>
        <w:fldChar w:fldCharType="begin"/>
      </w:r>
      <w:r>
        <w:rPr>
          <w:noProof/>
        </w:rPr>
        <w:instrText xml:space="preserve"> PAGEREF _Toc419460407 \h </w:instrText>
      </w:r>
      <w:r>
        <w:rPr>
          <w:noProof/>
        </w:rPr>
      </w:r>
      <w:r>
        <w:rPr>
          <w:noProof/>
        </w:rPr>
        <w:fldChar w:fldCharType="separate"/>
      </w:r>
      <w:r>
        <w:rPr>
          <w:noProof/>
        </w:rPr>
        <w:t>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19460394"/>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9460395"/>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1" w:name="_Toc419460396"/>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tbl>
      <w:tblPr>
        <w:tblStyle w:val="TableGrid"/>
        <w:tblW w:w="8910" w:type="dxa"/>
        <w:tblInd w:w="108" w:type="dxa"/>
        <w:tblLayout w:type="fixed"/>
        <w:tblLook w:val="04A0" w:firstRow="1" w:lastRow="0" w:firstColumn="1" w:lastColumn="0" w:noHBand="0" w:noVBand="1"/>
      </w:tblPr>
      <w:tblGrid>
        <w:gridCol w:w="3960"/>
        <w:gridCol w:w="4950"/>
      </w:tblGrid>
      <w:tr w:rsidR="00FC1CBB" w:rsidTr="00FC1CBB">
        <w:trPr>
          <w:cantSplit/>
          <w:trHeight w:val="773"/>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spacing w:after="120"/>
              <w:rPr>
                <w:rFonts w:asciiTheme="minorHAnsi" w:hAnsiTheme="minorHAnsi"/>
                <w:b/>
              </w:rPr>
            </w:pPr>
            <w:r w:rsidRPr="006C54CB">
              <w:rPr>
                <w:rFonts w:asciiTheme="minorHAnsi" w:hAnsiTheme="minorHAnsi"/>
                <w:b/>
              </w:rPr>
              <w:t>Business Functional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rsidR="00FC1CBB" w:rsidRPr="006C54CB" w:rsidRDefault="00FC1CBB" w:rsidP="00FC1CBB">
            <w:pPr>
              <w:tabs>
                <w:tab w:val="left" w:pos="293"/>
              </w:tabs>
              <w:spacing w:after="120"/>
              <w:rPr>
                <w:rFonts w:asciiTheme="minorHAnsi" w:hAnsiTheme="minorHAnsi"/>
                <w:b/>
              </w:rPr>
            </w:pPr>
            <w:r>
              <w:rPr>
                <w:rFonts w:asciiTheme="minorHAnsi" w:hAnsiTheme="minorHAnsi"/>
                <w:b/>
              </w:rPr>
              <w:t>Design</w:t>
            </w:r>
          </w:p>
        </w:tc>
      </w:tr>
      <w:tr w:rsidR="00FC1CBB" w:rsidTr="00A47D46">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40290" w:rsidP="00BC1408">
            <w:pPr>
              <w:rPr>
                <w:rFonts w:asciiTheme="minorHAnsi" w:hAnsiTheme="minorHAnsi"/>
              </w:rPr>
            </w:pPr>
            <w:r>
              <w:rPr>
                <w:rFonts w:asciiTheme="minorHAnsi" w:hAnsiTheme="minorHAnsi" w:cs="Helvetica"/>
                <w:color w:val="333333"/>
                <w:shd w:val="clear" w:color="auto" w:fill="FFFFFF"/>
              </w:rPr>
              <w:t>For large C</w:t>
            </w:r>
            <w:r w:rsidR="00F01E28">
              <w:rPr>
                <w:rFonts w:asciiTheme="minorHAnsi" w:hAnsiTheme="minorHAnsi" w:cs="Helvetica"/>
                <w:color w:val="333333"/>
                <w:shd w:val="clear" w:color="auto" w:fill="FFFFFF"/>
              </w:rPr>
              <w:t>ontainer</w:t>
            </w:r>
            <w:r>
              <w:rPr>
                <w:rFonts w:asciiTheme="minorHAnsi" w:hAnsiTheme="minorHAnsi" w:cs="Helvetica"/>
                <w:color w:val="333333"/>
                <w:shd w:val="clear" w:color="auto" w:fill="FFFFFF"/>
              </w:rPr>
              <w:t xml:space="preserve"> Type</w:t>
            </w:r>
            <w:r w:rsidR="00F01E28">
              <w:rPr>
                <w:rFonts w:asciiTheme="minorHAnsi" w:hAnsiTheme="minorHAnsi" w:cs="Helvetica"/>
                <w:color w:val="333333"/>
                <w:shd w:val="clear" w:color="auto" w:fill="FFFFFF"/>
              </w:rPr>
              <w:t xml:space="preserve">: </w:t>
            </w:r>
            <w:r w:rsidR="00FC1CBB" w:rsidRPr="001E7D1C">
              <w:rPr>
                <w:rFonts w:asciiTheme="minorHAnsi" w:hAnsiTheme="minorHAnsi" w:cs="Helvetica"/>
                <w:color w:val="333333"/>
                <w:shd w:val="clear" w:color="auto" w:fill="FFFFFF"/>
              </w:rPr>
              <w:t xml:space="preserve">'Is Container Owned?' to be forced set to false for </w:t>
            </w:r>
            <w:r w:rsidR="00F01E28">
              <w:rPr>
                <w:rFonts w:asciiTheme="minorHAnsi" w:hAnsiTheme="minorHAnsi" w:cs="Helvetica"/>
                <w:color w:val="333333"/>
                <w:shd w:val="clear" w:color="auto" w:fill="FFFFFF"/>
              </w:rPr>
              <w:t>“Self-Contained Compactor”</w:t>
            </w:r>
          </w:p>
        </w:tc>
        <w:tc>
          <w:tcPr>
            <w:tcW w:w="4950" w:type="dxa"/>
            <w:tcBorders>
              <w:top w:val="single" w:sz="4" w:space="0" w:color="auto"/>
              <w:left w:val="single" w:sz="4" w:space="0" w:color="auto"/>
              <w:bottom w:val="single" w:sz="4" w:space="0" w:color="auto"/>
              <w:right w:val="single" w:sz="4" w:space="0" w:color="auto"/>
            </w:tcBorders>
            <w:vAlign w:val="center"/>
          </w:tcPr>
          <w:p w:rsidR="00FC1CBB" w:rsidRPr="001E7D1C" w:rsidRDefault="00FC1CBB" w:rsidP="00BC1408">
            <w:pPr>
              <w:pStyle w:val="ListParagraph"/>
              <w:numPr>
                <w:ilvl w:val="1"/>
                <w:numId w:val="30"/>
              </w:numPr>
              <w:ind w:left="342"/>
              <w:textAlignment w:val="center"/>
              <w:rPr>
                <w:rFonts w:asciiTheme="minorHAnsi" w:eastAsia="Times New Roman" w:hAnsiTheme="minorHAnsi"/>
              </w:rPr>
            </w:pPr>
            <w:r w:rsidRPr="001E7D1C">
              <w:rPr>
                <w:rFonts w:asciiTheme="minorHAnsi" w:hAnsiTheme="minorHAnsi" w:cs="Arial"/>
              </w:rPr>
              <w:t>Add new recommendation rule ‘Set Is Customer Owned? Based on Container Type”</w:t>
            </w:r>
          </w:p>
          <w:p w:rsidR="00FC1CBB" w:rsidRPr="001E7D1C" w:rsidRDefault="00FC1CBB" w:rsidP="00BC1408">
            <w:pPr>
              <w:pStyle w:val="ListParagraph"/>
              <w:numPr>
                <w:ilvl w:val="1"/>
                <w:numId w:val="30"/>
              </w:numPr>
              <w:ind w:left="342"/>
              <w:textAlignment w:val="center"/>
              <w:rPr>
                <w:rFonts w:asciiTheme="minorHAnsi" w:eastAsia="Times New Roman" w:hAnsiTheme="minorHAnsi"/>
              </w:rPr>
            </w:pPr>
            <w:r w:rsidRPr="001E7D1C">
              <w:rPr>
                <w:rFonts w:asciiTheme="minorHAnsi" w:hAnsiTheme="minorHAnsi" w:cs="Arial"/>
              </w:rPr>
              <w:t>Condition: Container Type = ‘</w:t>
            </w:r>
            <w:r w:rsidR="00F01E28">
              <w:rPr>
                <w:rFonts w:asciiTheme="minorHAnsi" w:hAnsiTheme="minorHAnsi" w:cs="Helvetica"/>
                <w:color w:val="333333"/>
                <w:shd w:val="clear" w:color="auto" w:fill="FFFFFF"/>
              </w:rPr>
              <w:t>Self-Contained Compactor</w:t>
            </w:r>
            <w:r w:rsidRPr="001E7D1C">
              <w:rPr>
                <w:rFonts w:asciiTheme="minorHAnsi" w:hAnsiTheme="minorHAnsi" w:cs="Arial"/>
              </w:rPr>
              <w:t>’</w:t>
            </w:r>
          </w:p>
          <w:p w:rsidR="00FC1CBB" w:rsidRPr="001E7D1C" w:rsidRDefault="00FC1CBB" w:rsidP="00BC1408">
            <w:pPr>
              <w:pStyle w:val="ListParagraph"/>
              <w:numPr>
                <w:ilvl w:val="1"/>
                <w:numId w:val="30"/>
              </w:numPr>
              <w:ind w:left="342"/>
              <w:textAlignment w:val="center"/>
              <w:rPr>
                <w:rFonts w:asciiTheme="minorHAnsi" w:eastAsia="Times New Roman" w:hAnsiTheme="minorHAnsi"/>
              </w:rPr>
            </w:pPr>
            <w:r w:rsidRPr="001E7D1C">
              <w:rPr>
                <w:rFonts w:asciiTheme="minorHAnsi" w:hAnsiTheme="minorHAnsi" w:cs="Arial"/>
              </w:rPr>
              <w:t>Action: Is Container Owned? Forced Set to False</w:t>
            </w:r>
          </w:p>
        </w:tc>
      </w:tr>
      <w:tr w:rsidR="00FC1CBB" w:rsidTr="00A47D46">
        <w:trPr>
          <w:trHeight w:val="773"/>
        </w:trPr>
        <w:tc>
          <w:tcPr>
            <w:tcW w:w="3960" w:type="dxa"/>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Change 'Total Compactor Expense' to 'Total Compactor Cost'</w:t>
            </w:r>
          </w:p>
        </w:tc>
        <w:tc>
          <w:tcPr>
            <w:tcW w:w="4950" w:type="dxa"/>
          </w:tcPr>
          <w:p w:rsidR="00FC1CBB" w:rsidRPr="001E7D1C" w:rsidRDefault="00FC1CBB" w:rsidP="00BC1408">
            <w:pPr>
              <w:pStyle w:val="ListParagraph"/>
              <w:numPr>
                <w:ilvl w:val="0"/>
                <w:numId w:val="35"/>
              </w:numPr>
              <w:spacing w:line="276" w:lineRule="auto"/>
              <w:ind w:left="342"/>
              <w:jc w:val="both"/>
              <w:rPr>
                <w:rFonts w:asciiTheme="minorHAnsi" w:hAnsiTheme="minorHAnsi"/>
              </w:rPr>
            </w:pPr>
            <w:r w:rsidRPr="001E7D1C">
              <w:rPr>
                <w:rFonts w:asciiTheme="minorHAnsi" w:hAnsiTheme="minorHAnsi" w:cs="Arial"/>
              </w:rPr>
              <w:t>Attribute Administration – Change Display Name to ‘Total Compactor Cost’</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Default 'Total Compactor Expense' to a division specific value</w:t>
            </w:r>
          </w:p>
        </w:tc>
        <w:tc>
          <w:tcPr>
            <w:tcW w:w="4950" w:type="dxa"/>
            <w:vAlign w:val="center"/>
          </w:tcPr>
          <w:p w:rsidR="00FC1CBB" w:rsidRPr="001E7D1C" w:rsidRDefault="00FC1CBB" w:rsidP="00A47D46">
            <w:pPr>
              <w:pStyle w:val="ListParagraph"/>
              <w:numPr>
                <w:ilvl w:val="0"/>
                <w:numId w:val="31"/>
              </w:numPr>
              <w:ind w:left="342"/>
              <w:textAlignment w:val="center"/>
              <w:rPr>
                <w:rFonts w:asciiTheme="minorHAnsi" w:eastAsia="Times New Roman" w:hAnsiTheme="minorHAnsi"/>
              </w:rPr>
            </w:pPr>
            <w:r>
              <w:rPr>
                <w:rFonts w:asciiTheme="minorHAnsi" w:hAnsiTheme="minorHAnsi" w:cs="Arial"/>
              </w:rPr>
              <w:t xml:space="preserve">Query parts database </w:t>
            </w:r>
            <w:r w:rsidRPr="001E7D1C">
              <w:rPr>
                <w:rFonts w:asciiTheme="minorHAnsi" w:hAnsiTheme="minorHAnsi" w:cs="Arial"/>
              </w:rPr>
              <w:t>to pull default value/use recommendation rule</w:t>
            </w:r>
          </w:p>
          <w:p w:rsidR="00FC1CBB" w:rsidRPr="001E7D1C" w:rsidRDefault="00FC1CBB" w:rsidP="00A47D46">
            <w:pPr>
              <w:pStyle w:val="ListParagraph"/>
              <w:spacing w:line="276" w:lineRule="auto"/>
              <w:ind w:left="0"/>
              <w:jc w:val="both"/>
              <w:rPr>
                <w:rFonts w:asciiTheme="minorHAnsi" w:hAnsiTheme="minorHAnsi"/>
              </w:rPr>
            </w:pP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Hide 'Estimated Tons/Haul' if 'Unit of Measure' is 'Per Haul' or 'Per Yard'</w:t>
            </w:r>
          </w:p>
        </w:tc>
        <w:tc>
          <w:tcPr>
            <w:tcW w:w="4950" w:type="dxa"/>
            <w:vAlign w:val="center"/>
          </w:tcPr>
          <w:p w:rsidR="00FC1CBB" w:rsidRPr="001E7D1C" w:rsidRDefault="00FC1CBB" w:rsidP="00A47D46">
            <w:pPr>
              <w:pStyle w:val="ListParagraph"/>
              <w:numPr>
                <w:ilvl w:val="0"/>
                <w:numId w:val="32"/>
              </w:numPr>
              <w:ind w:left="342"/>
              <w:textAlignment w:val="center"/>
              <w:rPr>
                <w:rFonts w:asciiTheme="minorHAnsi" w:eastAsia="Times New Roman" w:hAnsiTheme="minorHAnsi"/>
              </w:rPr>
            </w:pPr>
            <w:r w:rsidRPr="001E7D1C">
              <w:rPr>
                <w:rFonts w:asciiTheme="minorHAnsi" w:hAnsiTheme="minorHAnsi" w:cs="Arial"/>
              </w:rPr>
              <w:t>Add Hiding Rule: Hide Estimated Tons/Haul based on Unit of Measure’</w:t>
            </w:r>
          </w:p>
          <w:p w:rsidR="00FC1CBB" w:rsidRPr="001E7D1C"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At the Large Container Level</w:t>
            </w:r>
          </w:p>
          <w:p w:rsidR="00FC1CBB" w:rsidRPr="001E7D1C"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Condition: if UoM &lt;&gt; Per Ton</w:t>
            </w:r>
          </w:p>
          <w:p w:rsidR="00FC1CBB" w:rsidRPr="00A9787F" w:rsidRDefault="00FC1CBB" w:rsidP="00A47D46">
            <w:pPr>
              <w:pStyle w:val="ListParagraph"/>
              <w:numPr>
                <w:ilvl w:val="2"/>
                <w:numId w:val="29"/>
              </w:numPr>
              <w:ind w:left="702"/>
              <w:textAlignment w:val="center"/>
              <w:rPr>
                <w:rFonts w:asciiTheme="minorHAnsi" w:eastAsia="Times New Roman" w:hAnsiTheme="minorHAnsi"/>
              </w:rPr>
            </w:pPr>
            <w:r w:rsidRPr="001E7D1C">
              <w:rPr>
                <w:rFonts w:asciiTheme="minorHAnsi" w:hAnsiTheme="minorHAnsi" w:cs="Arial"/>
              </w:rPr>
              <w:t>Action: Hide Estimated Tons/Haul</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Align Monthly Totals section with Unit of Measure calculations</w:t>
            </w:r>
          </w:p>
        </w:tc>
        <w:tc>
          <w:tcPr>
            <w:tcW w:w="4950" w:type="dxa"/>
            <w:vAlign w:val="center"/>
          </w:tcPr>
          <w:p w:rsidR="00FC1CBB" w:rsidRDefault="00FC1CBB" w:rsidP="00A47D46">
            <w:pPr>
              <w:pStyle w:val="NormalWeb"/>
              <w:shd w:val="clear" w:color="auto" w:fill="FFFFFF"/>
              <w:spacing w:before="0" w:beforeAutospacing="0" w:after="0" w:afterAutospacing="0"/>
              <w:rPr>
                <w:rFonts w:asciiTheme="minorHAnsi" w:hAnsiTheme="minorHAnsi" w:cs="Helvetica"/>
                <w:color w:val="333333"/>
                <w:sz w:val="20"/>
                <w:szCs w:val="20"/>
              </w:rPr>
            </w:pPr>
            <w:r w:rsidRPr="008E18CE">
              <w:rPr>
                <w:rFonts w:asciiTheme="minorHAnsi" w:hAnsiTheme="minorHAnsi" w:cs="Helvetica"/>
                <w:color w:val="333333"/>
                <w:sz w:val="20"/>
                <w:szCs w:val="20"/>
              </w:rPr>
              <w:t>If By the load UOM is chosen, financial summary multiplies disposal by estimated tons</w:t>
            </w:r>
            <w:r>
              <w:rPr>
                <w:rFonts w:asciiTheme="minorHAnsi" w:hAnsiTheme="minorHAnsi" w:cs="Helvetica"/>
                <w:color w:val="333333"/>
                <w:sz w:val="20"/>
                <w:szCs w:val="20"/>
              </w:rPr>
              <w:t xml:space="preserve">/haul. It should not do this. </w:t>
            </w:r>
          </w:p>
          <w:p w:rsidR="00FC1CBB" w:rsidRPr="008E18CE" w:rsidRDefault="00FC1CBB" w:rsidP="00A47D46">
            <w:pPr>
              <w:pStyle w:val="NormalWeb"/>
              <w:shd w:val="clear" w:color="auto" w:fill="FFFFFF"/>
              <w:spacing w:before="0" w:beforeAutospacing="0" w:after="0" w:afterAutospacing="0"/>
              <w:rPr>
                <w:rFonts w:asciiTheme="minorHAnsi" w:hAnsiTheme="minorHAnsi" w:cs="Helvetica"/>
                <w:color w:val="333333"/>
                <w:sz w:val="20"/>
                <w:szCs w:val="20"/>
              </w:rPr>
            </w:pPr>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Fonts w:asciiTheme="minorHAnsi" w:hAnsiTheme="minorHAnsi" w:cs="Helvetica"/>
                <w:color w:val="333333"/>
                <w:sz w:val="20"/>
                <w:szCs w:val="20"/>
              </w:rPr>
              <w:t>For "By the Load" , monthly disposal expense = I/C rate</w:t>
            </w:r>
            <w:r w:rsidRPr="008E18CE">
              <w:rPr>
                <w:rStyle w:val="Emphasis"/>
                <w:rFonts w:asciiTheme="minorHAnsi" w:hAnsiTheme="minorHAnsi" w:cs="Helvetica"/>
                <w:color w:val="333333"/>
                <w:sz w:val="20"/>
                <w:szCs w:val="20"/>
              </w:rPr>
              <w:t>hauls per month * qty</w:t>
            </w:r>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For "By the Yard", monthly disposal expense = I/C rate * container size in yards * hauls per month * qty</w:t>
            </w:r>
          </w:p>
          <w:p w:rsidR="00FC1CBB" w:rsidRPr="008E18CE" w:rsidRDefault="00FC1CBB" w:rsidP="00A47D46">
            <w:pPr>
              <w:pStyle w:val="NormalWeb"/>
              <w:numPr>
                <w:ilvl w:val="0"/>
                <w:numId w:val="17"/>
              </w:numPr>
              <w:shd w:val="clear" w:color="auto" w:fill="FFFFFF"/>
              <w:spacing w:before="0" w:beforeAutospacing="0" w:after="0" w:afterAutospacing="0"/>
              <w:ind w:left="342"/>
              <w:rPr>
                <w:rFonts w:asciiTheme="minorHAnsi" w:hAnsiTheme="minorHAnsi" w:cs="Helvetica"/>
                <w:color w:val="333333"/>
                <w:sz w:val="20"/>
                <w:szCs w:val="20"/>
              </w:rPr>
            </w:pPr>
            <w:r w:rsidRPr="008E18CE">
              <w:rPr>
                <w:rStyle w:val="Emphasis"/>
                <w:rFonts w:asciiTheme="minorHAnsi" w:hAnsiTheme="minorHAnsi" w:cs="Helvetica"/>
                <w:color w:val="333333"/>
                <w:sz w:val="20"/>
                <w:szCs w:val="20"/>
              </w:rPr>
              <w:t>For "By the Ton" monthly disposal expense = I/C rate * estimated tons per haul</w:t>
            </w:r>
            <w:r w:rsidRPr="008E18CE">
              <w:rPr>
                <w:rFonts w:asciiTheme="minorHAnsi" w:hAnsiTheme="minorHAnsi" w:cs="Helvetica"/>
                <w:color w:val="333333"/>
                <w:sz w:val="20"/>
                <w:szCs w:val="20"/>
              </w:rPr>
              <w:t>hauls per month * qty</w:t>
            </w:r>
          </w:p>
          <w:p w:rsidR="00FC1CBB" w:rsidRPr="008E18CE" w:rsidRDefault="00FC1CBB" w:rsidP="00A47D46">
            <w:pPr>
              <w:pStyle w:val="ListParagraph"/>
              <w:spacing w:line="276" w:lineRule="auto"/>
              <w:ind w:left="0"/>
              <w:jc w:val="both"/>
              <w:rPr>
                <w:rFonts w:asciiTheme="minorHAnsi" w:hAnsiTheme="minorHAnsi"/>
              </w:rPr>
            </w:pPr>
          </w:p>
        </w:tc>
        <w:bookmarkStart w:id="15" w:name="_GoBack"/>
        <w:bookmarkEnd w:id="15"/>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Disposal Rate cannot be negative for non-recycling waste types</w:t>
            </w:r>
          </w:p>
        </w:tc>
        <w:tc>
          <w:tcPr>
            <w:tcW w:w="4950" w:type="dxa"/>
            <w:vAlign w:val="center"/>
          </w:tcPr>
          <w:p w:rsidR="00FC1CBB" w:rsidRPr="001E7D1C" w:rsidRDefault="00FC1CBB" w:rsidP="00A47D46">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line level validation rule: Check Core Price for Negative Value</w:t>
            </w:r>
          </w:p>
          <w:p w:rsidR="00FC1CBB" w:rsidRPr="001E7D1C" w:rsidRDefault="00FC1CBB" w:rsidP="00A47D46">
            <w:pPr>
              <w:pStyle w:val="ListParagraph"/>
              <w:numPr>
                <w:ilvl w:val="0"/>
                <w:numId w:val="34"/>
              </w:numPr>
              <w:ind w:left="342"/>
              <w:textAlignment w:val="center"/>
              <w:rPr>
                <w:rFonts w:asciiTheme="minorHAnsi" w:eastAsia="Times New Roman" w:hAnsiTheme="minorHAnsi"/>
              </w:rPr>
            </w:pPr>
            <w:r w:rsidRPr="001E7D1C">
              <w:rPr>
                <w:rFonts w:asciiTheme="minorHAnsi" w:hAnsiTheme="minorHAnsi" w:cs="Arial"/>
              </w:rPr>
              <w:t>Change to advanced condition:</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false;</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priceCheck = false;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rateCheck = false;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wasteCheck = false;</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recyclingWastes = string[];</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wasteTypeRecs = bmql("SELECT Is_Recycling, wasteType FROM Div_Waste_Types WHERE division = $division_quote");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for rec in wasteTypeRecs{</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 (get(rec, "Is_Recycling") == "1"){</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append(recyclingWastes, get(rec, "wasteType"));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for line in line_process{</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if(line._document_number == _system_current_document_number){</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(line.rateType_line == "Disposal"){</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rateCheck = true;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if (findinarray(recyclingWastes, line.wasteType_line) &lt;&gt; -1){</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wasteCheck = true;</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ab/>
              <w:t>}</w:t>
            </w: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Courier New" w:eastAsia="Times New Roman" w:hAnsi="Courier New" w:cs="Courier New"/>
                <w:sz w:val="14"/>
                <w:szCs w:val="14"/>
              </w:rPr>
            </w:pPr>
            <w:r w:rsidRPr="001E7D1C">
              <w:rPr>
                <w:rFonts w:ascii="Courier New" w:eastAsia="Times New Roman" w:hAnsi="Courier New" w:cs="Courier New"/>
                <w:sz w:val="14"/>
                <w:szCs w:val="14"/>
              </w:rPr>
              <w:t>result = not(rateCheck AND wasteCheck);</w:t>
            </w:r>
          </w:p>
          <w:p w:rsidR="00FC1CBB" w:rsidRPr="001E7D1C" w:rsidRDefault="00FC1CBB" w:rsidP="00A47D46">
            <w:pPr>
              <w:ind w:left="-18"/>
              <w:textAlignment w:val="center"/>
              <w:rPr>
                <w:rFonts w:ascii="Courier New" w:eastAsia="Times New Roman" w:hAnsi="Courier New" w:cs="Courier New"/>
                <w:sz w:val="14"/>
                <w:szCs w:val="14"/>
              </w:rPr>
            </w:pPr>
          </w:p>
          <w:p w:rsidR="00FC1CBB" w:rsidRPr="001E7D1C" w:rsidRDefault="00FC1CBB" w:rsidP="00A47D46">
            <w:pPr>
              <w:ind w:left="-18"/>
              <w:textAlignment w:val="center"/>
              <w:rPr>
                <w:rFonts w:asciiTheme="minorHAnsi" w:eastAsia="Times New Roman" w:hAnsiTheme="minorHAnsi" w:cs="Courier New"/>
                <w:b/>
                <w:sz w:val="16"/>
                <w:szCs w:val="16"/>
              </w:rPr>
            </w:pPr>
            <w:r w:rsidRPr="001E7D1C">
              <w:rPr>
                <w:rFonts w:ascii="Courier New" w:eastAsia="Times New Roman" w:hAnsi="Courier New" w:cs="Courier New"/>
                <w:sz w:val="14"/>
                <w:szCs w:val="14"/>
              </w:rPr>
              <w:t>return result;</w:t>
            </w:r>
          </w:p>
        </w:tc>
      </w:tr>
      <w:tr w:rsidR="00FC1CBB" w:rsidTr="00A47D46">
        <w:trPr>
          <w:trHeight w:val="773"/>
        </w:trPr>
        <w:tc>
          <w:tcPr>
            <w:tcW w:w="3960" w:type="dxa"/>
            <w:vAlign w:val="center"/>
          </w:tcPr>
          <w:p w:rsidR="00FC1CBB" w:rsidRPr="001E7D1C" w:rsidRDefault="00FC1CBB" w:rsidP="00A47D46">
            <w:pPr>
              <w:pStyle w:val="ListParagraph"/>
              <w:numPr>
                <w:ilvl w:val="0"/>
                <w:numId w:val="28"/>
              </w:numPr>
              <w:rPr>
                <w:rFonts w:asciiTheme="minorHAnsi" w:hAnsiTheme="minorHAnsi"/>
              </w:rPr>
            </w:pPr>
            <w:r w:rsidRPr="001E7D1C">
              <w:rPr>
                <w:rFonts w:asciiTheme="minorHAnsi" w:hAnsiTheme="minorHAnsi"/>
              </w:rPr>
              <w:lastRenderedPageBreak/>
              <w:t xml:space="preserve"> </w:t>
            </w:r>
          </w:p>
          <w:p w:rsidR="00FC1CBB" w:rsidRPr="001E7D1C" w:rsidRDefault="00FC1CBB" w:rsidP="00A47D46">
            <w:pPr>
              <w:rPr>
                <w:rFonts w:asciiTheme="minorHAnsi" w:hAnsiTheme="minorHAnsi"/>
              </w:rPr>
            </w:pPr>
            <w:r w:rsidRPr="001E7D1C">
              <w:rPr>
                <w:rFonts w:asciiTheme="minorHAnsi" w:hAnsiTheme="minorHAnsi" w:cs="Helvetica"/>
                <w:color w:val="333333"/>
                <w:shd w:val="clear" w:color="auto" w:fill="FFFFFF"/>
              </w:rPr>
              <w:t>Hide 'Tons Included in Haul Rate' for Per Yard or Per Load Flat Rate quotes</w:t>
            </w:r>
          </w:p>
        </w:tc>
        <w:tc>
          <w:tcPr>
            <w:tcW w:w="4950" w:type="dxa"/>
            <w:vAlign w:val="center"/>
          </w:tcPr>
          <w:p w:rsidR="00FC1CBB" w:rsidRPr="009C2524" w:rsidRDefault="00FC1CBB" w:rsidP="00A47D46">
            <w:pPr>
              <w:tabs>
                <w:tab w:val="left" w:pos="293"/>
              </w:tabs>
              <w:rPr>
                <w:rFonts w:asciiTheme="minorHAnsi" w:hAnsiTheme="minorHAnsi"/>
              </w:rPr>
            </w:pPr>
            <w:r>
              <w:rPr>
                <w:rFonts w:asciiTheme="minorHAnsi" w:hAnsiTheme="minorHAnsi"/>
              </w:rPr>
              <w:t>Add constraint rule</w:t>
            </w:r>
          </w:p>
        </w:tc>
      </w:tr>
      <w:tr w:rsidR="00FC1CBB" w:rsidTr="00A47D46">
        <w:trPr>
          <w:trHeight w:val="773"/>
        </w:trPr>
        <w:tc>
          <w:tcPr>
            <w:tcW w:w="3960" w:type="dxa"/>
            <w:vAlign w:val="center"/>
          </w:tcPr>
          <w:p w:rsidR="00FC1CBB" w:rsidRDefault="00FC1CBB" w:rsidP="00A47D46">
            <w:pPr>
              <w:pStyle w:val="ListParagraph"/>
              <w:numPr>
                <w:ilvl w:val="0"/>
                <w:numId w:val="28"/>
              </w:numPr>
              <w:rPr>
                <w:rFonts w:asciiTheme="minorHAnsi" w:hAnsiTheme="minorHAnsi"/>
              </w:rPr>
            </w:pPr>
          </w:p>
          <w:p w:rsidR="00FC1CBB" w:rsidRPr="003B135F" w:rsidRDefault="00FC1CBB" w:rsidP="00A47D46">
            <w:pPr>
              <w:rPr>
                <w:rFonts w:asciiTheme="minorHAnsi" w:hAnsiTheme="minorHAnsi"/>
              </w:rPr>
            </w:pPr>
            <w:r w:rsidRPr="003B135F">
              <w:rPr>
                <w:rFonts w:asciiTheme="minorHAnsi" w:hAnsiTheme="minorHAnsi"/>
              </w:rPr>
              <w:t>Remove overage line item for Per Yard or Per Load Flat Rate quotes</w:t>
            </w:r>
          </w:p>
        </w:tc>
        <w:tc>
          <w:tcPr>
            <w:tcW w:w="4950" w:type="dxa"/>
            <w:vAlign w:val="center"/>
          </w:tcPr>
          <w:p w:rsidR="00FC1CBB" w:rsidRDefault="00FC1CBB" w:rsidP="00A47D46">
            <w:pPr>
              <w:tabs>
                <w:tab w:val="left" w:pos="293"/>
              </w:tabs>
              <w:rPr>
                <w:rFonts w:asciiTheme="minorHAnsi" w:hAnsiTheme="minorHAnsi"/>
              </w:rPr>
            </w:pPr>
            <w:r>
              <w:rPr>
                <w:rFonts w:asciiTheme="minorHAnsi" w:hAnsiTheme="minorHAnsi"/>
              </w:rPr>
              <w:t>Add constraint rule</w:t>
            </w:r>
          </w:p>
        </w:tc>
      </w:tr>
    </w:tbl>
    <w:p w:rsidR="00FC1CBB" w:rsidRPr="000A6FF2" w:rsidRDefault="00FC1CBB" w:rsidP="000A6FF2">
      <w:pPr>
        <w:pStyle w:val="BodyText"/>
        <w:rPr>
          <w:rFonts w:asciiTheme="minorHAnsi" w:hAnsiTheme="minorHAnsi" w:cstheme="minorHAnsi"/>
        </w:rPr>
      </w:pPr>
    </w:p>
    <w:p w:rsidR="00A910C9" w:rsidRPr="006C54CB" w:rsidRDefault="00A910C9" w:rsidP="00A910C9">
      <w:pPr>
        <w:jc w:val="both"/>
        <w:rPr>
          <w:rFonts w:asciiTheme="minorHAnsi" w:hAnsiTheme="minorHAnsi"/>
        </w:rPr>
      </w:pPr>
    </w:p>
    <w:p w:rsidR="00F040D7" w:rsidRPr="006C54CB"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E544C2" w:rsidRDefault="00E544C2" w:rsidP="00CA2B01">
      <w:pPr>
        <w:pStyle w:val="Heading3"/>
        <w:rPr>
          <w:rFonts w:asciiTheme="minorHAnsi" w:hAnsiTheme="minorHAnsi"/>
        </w:rPr>
      </w:pPr>
      <w:bookmarkStart w:id="19" w:name="_Toc419460397"/>
      <w:r w:rsidRPr="006C54CB">
        <w:rPr>
          <w:rFonts w:asciiTheme="minorHAnsi" w:hAnsiTheme="minorHAnsi"/>
        </w:rPr>
        <w:t>Technical Design Requirements</w:t>
      </w:r>
      <w:bookmarkEnd w:id="19"/>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FC1CBB">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0" w:name="_Toc379450809"/>
      <w:bookmarkStart w:id="21" w:name="_Toc419460398"/>
      <w:r w:rsidRPr="006C54CB">
        <w:rPr>
          <w:rFonts w:asciiTheme="minorHAnsi" w:hAnsiTheme="minorHAnsi"/>
        </w:rPr>
        <w:t>Assumptions</w:t>
      </w:r>
      <w:bookmarkEnd w:id="20"/>
      <w:bookmarkEnd w:id="21"/>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3731D6" w:rsidRPr="003731D6" w:rsidRDefault="00A159AB" w:rsidP="003731D6">
      <w:pPr>
        <w:pStyle w:val="Heading1"/>
        <w:rPr>
          <w:rFonts w:asciiTheme="minorHAnsi" w:hAnsiTheme="minorHAnsi"/>
        </w:rPr>
      </w:pPr>
      <w:bookmarkStart w:id="22" w:name="_Toc419460399"/>
      <w:r w:rsidRPr="006C54CB">
        <w:rPr>
          <w:rFonts w:asciiTheme="minorHAnsi" w:hAnsiTheme="minorHAnsi"/>
        </w:rPr>
        <w:t>Technical Design</w:t>
      </w:r>
      <w:bookmarkEnd w:id="22"/>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3" w:name="_Toc419460400"/>
      <w:r w:rsidRPr="006C54CB">
        <w:rPr>
          <w:rFonts w:asciiTheme="minorHAnsi" w:hAnsiTheme="minorHAnsi"/>
        </w:rPr>
        <w:t>Referenced Documents</w:t>
      </w:r>
      <w:bookmarkEnd w:id="23"/>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4" w:name="_Toc419460401"/>
      <w:r w:rsidRPr="008E75DF">
        <w:rPr>
          <w:rFonts w:asciiTheme="minorHAnsi" w:hAnsiTheme="minorHAnsi"/>
        </w:rPr>
        <w:t>Process Flow and Mock Ups</w:t>
      </w:r>
      <w:bookmarkEnd w:id="24"/>
    </w:p>
    <w:p w:rsidR="006824C8" w:rsidRDefault="006824C8" w:rsidP="006824C8">
      <w:pPr>
        <w:pStyle w:val="Heading2"/>
        <w:jc w:val="both"/>
        <w:rPr>
          <w:rFonts w:asciiTheme="minorHAnsi" w:hAnsiTheme="minorHAnsi"/>
        </w:rPr>
      </w:pPr>
      <w:bookmarkStart w:id="25" w:name="_Toc419460402"/>
      <w:r>
        <w:rPr>
          <w:rFonts w:asciiTheme="minorHAnsi" w:hAnsiTheme="minorHAnsi"/>
        </w:rPr>
        <w:t>Changes to Capture tables</w:t>
      </w:r>
      <w:bookmarkEnd w:id="25"/>
    </w:p>
    <w:p w:rsidR="00863526" w:rsidRDefault="00863526" w:rsidP="00141BA4">
      <w:pPr>
        <w:pStyle w:val="BodyText"/>
      </w:pPr>
    </w:p>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26" w:name="_Toc419460403"/>
      <w:r>
        <w:rPr>
          <w:rFonts w:asciiTheme="minorHAnsi" w:hAnsiTheme="minorHAnsi"/>
        </w:rPr>
        <w:t>Changes to Pricing formulas</w:t>
      </w:r>
      <w:bookmarkEnd w:id="26"/>
    </w:p>
    <w:p w:rsidR="00F40290" w:rsidRPr="006C54CB" w:rsidRDefault="00F40290" w:rsidP="00F40290">
      <w:pPr>
        <w:ind w:firstLine="720"/>
        <w:jc w:val="both"/>
        <w:rPr>
          <w:rFonts w:asciiTheme="minorHAnsi" w:hAnsiTheme="minorHAnsi"/>
        </w:rPr>
      </w:pPr>
      <w:r w:rsidRPr="006C54CB">
        <w:rPr>
          <w:rFonts w:asciiTheme="minorHAnsi" w:hAnsiTheme="minorHAnsi"/>
        </w:rPr>
        <w:t>None</w:t>
      </w:r>
    </w:p>
    <w:p w:rsidR="00A910C9" w:rsidRPr="006C54CB" w:rsidRDefault="00A910C9" w:rsidP="00A910C9">
      <w:pPr>
        <w:pStyle w:val="Heading2"/>
        <w:jc w:val="both"/>
        <w:rPr>
          <w:rFonts w:asciiTheme="minorHAnsi" w:hAnsiTheme="minorHAnsi"/>
        </w:rPr>
      </w:pPr>
      <w:bookmarkStart w:id="27" w:name="_Toc419460404"/>
      <w:r w:rsidRPr="006C54CB">
        <w:rPr>
          <w:rFonts w:asciiTheme="minorHAnsi" w:hAnsiTheme="minorHAnsi"/>
        </w:rPr>
        <w:lastRenderedPageBreak/>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5"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8" w:name="_Toc419460405"/>
      <w:r w:rsidRPr="00A878BC">
        <w:rPr>
          <w:rFonts w:asciiTheme="minorHAnsi" w:hAnsiTheme="minorHAnsi"/>
        </w:rPr>
        <w:t xml:space="preserve">InfoPro </w:t>
      </w:r>
      <w:r w:rsidR="00A910C9" w:rsidRPr="00A878BC">
        <w:rPr>
          <w:rFonts w:asciiTheme="minorHAnsi" w:hAnsiTheme="minorHAnsi"/>
        </w:rPr>
        <w:t>Int</w:t>
      </w:r>
      <w:bookmarkEnd w:id="28"/>
    </w:p>
    <w:p w:rsidR="00E12304" w:rsidRPr="006834E0" w:rsidRDefault="006834E0" w:rsidP="006834E0">
      <w:pPr>
        <w:ind w:left="576"/>
        <w:rPr>
          <w:rFonts w:asciiTheme="minorHAnsi" w:hAnsiTheme="minorHAnsi" w:cs="Courier New"/>
          <w:color w:val="000000"/>
        </w:rPr>
      </w:pPr>
      <w:r>
        <w:rPr>
          <w:rFonts w:asciiTheme="minorHAnsi" w:hAnsiTheme="minorHAnsi" w:cs="Courier New"/>
          <w:color w:val="000000"/>
        </w:rPr>
        <w:t>Should not require now attributes for any of the changes.</w:t>
      </w:r>
    </w:p>
    <w:p w:rsidR="006D7B32" w:rsidRDefault="00C539DD" w:rsidP="0092038A">
      <w:pPr>
        <w:pStyle w:val="Heading1"/>
        <w:jc w:val="both"/>
        <w:rPr>
          <w:rFonts w:asciiTheme="minorHAnsi" w:hAnsiTheme="minorHAnsi"/>
        </w:rPr>
      </w:pPr>
      <w:bookmarkStart w:id="29" w:name="_Toc419460406"/>
      <w:r w:rsidRPr="006C54CB">
        <w:rPr>
          <w:rFonts w:asciiTheme="minorHAnsi" w:hAnsiTheme="minorHAnsi"/>
        </w:rPr>
        <w:t>Report Changes</w:t>
      </w:r>
      <w:bookmarkEnd w:id="29"/>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Default="00A910C9" w:rsidP="00120B3F">
      <w:pPr>
        <w:pStyle w:val="Heading1"/>
        <w:jc w:val="both"/>
        <w:rPr>
          <w:rFonts w:asciiTheme="minorHAnsi" w:hAnsiTheme="minorHAnsi"/>
        </w:rPr>
      </w:pPr>
      <w:bookmarkStart w:id="30" w:name="_Toc419460407"/>
      <w:r w:rsidRPr="00120B3F">
        <w:rPr>
          <w:rFonts w:asciiTheme="minorHAnsi" w:hAnsiTheme="minorHAnsi"/>
        </w:rPr>
        <w:t>Appendix</w:t>
      </w:r>
      <w:bookmarkEnd w:id="30"/>
      <w:r w:rsidRPr="00120B3F">
        <w:rPr>
          <w:rFonts w:asciiTheme="minorHAnsi" w:hAnsiTheme="minorHAnsi"/>
        </w:rPr>
        <w:t xml:space="preserve"> </w:t>
      </w:r>
      <w:bookmarkEnd w:id="16"/>
      <w:bookmarkEnd w:id="17"/>
      <w:bookmarkEnd w:id="18"/>
    </w:p>
    <w:p w:rsidR="00F40290" w:rsidRPr="00F40290" w:rsidRDefault="00F40290" w:rsidP="00F40290">
      <w:pPr>
        <w:pStyle w:val="BodyText"/>
      </w:pPr>
    </w:p>
    <w:sectPr w:rsidR="00F40290" w:rsidRPr="00F40290"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CAF" w:rsidRDefault="00D66CAF">
      <w:r>
        <w:separator/>
      </w:r>
    </w:p>
  </w:endnote>
  <w:endnote w:type="continuationSeparator" w:id="0">
    <w:p w:rsidR="00D66CAF" w:rsidRDefault="00D66CAF">
      <w:r>
        <w:continuationSeparator/>
      </w:r>
    </w:p>
  </w:endnote>
  <w:endnote w:type="continuationNotice" w:id="1">
    <w:p w:rsidR="00D66CAF" w:rsidRDefault="00D66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4020" w:rsidRDefault="000C402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C4020" w:rsidRDefault="000C4020">
    <w:pPr>
      <w:pStyle w:val="Footer"/>
      <w:ind w:right="360"/>
    </w:pPr>
    <w:r>
      <w:tab/>
    </w:r>
  </w:p>
  <w:p w:rsidR="000C4020" w:rsidRDefault="000C402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D66CAF"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C4020">
          <w:t>Disposal Enhancements</w:t>
        </w:r>
      </w:sdtContent>
    </w:sdt>
    <w:r w:rsidR="000C4020">
      <w:tab/>
    </w:r>
    <w:r w:rsidR="000C4020">
      <w:fldChar w:fldCharType="begin"/>
    </w:r>
    <w:r w:rsidR="000C4020">
      <w:instrText xml:space="preserve"> DATE  \@ "M/d/yyyy h:mm:ss am/pm" \l  \* MERGEFORMAT </w:instrText>
    </w:r>
    <w:r w:rsidR="000C4020">
      <w:fldChar w:fldCharType="separate"/>
    </w:r>
    <w:r w:rsidR="006834E0">
      <w:rPr>
        <w:noProof/>
      </w:rPr>
      <w:t>5/21/2015 3:09:15 PM</w:t>
    </w:r>
    <w:r w:rsidR="000C4020">
      <w:rPr>
        <w:noProof/>
      </w:rPr>
      <w:fldChar w:fldCharType="end"/>
    </w:r>
    <w:r w:rsidR="000C4020">
      <w:tab/>
    </w:r>
    <w:r w:rsidR="000C4020">
      <w:rPr>
        <w:i/>
      </w:rPr>
      <w:t>Page</w:t>
    </w:r>
    <w:r w:rsidR="000C4020">
      <w:t xml:space="preserve"> </w:t>
    </w:r>
    <w:r w:rsidR="000C4020">
      <w:rPr>
        <w:rStyle w:val="PageNumber"/>
        <w:rFonts w:ascii="Arial" w:hAnsi="Arial" w:cs="Arial"/>
        <w:b w:val="0"/>
        <w:i/>
        <w:sz w:val="16"/>
        <w:szCs w:val="16"/>
      </w:rPr>
      <w:fldChar w:fldCharType="begin"/>
    </w:r>
    <w:r w:rsidR="000C4020">
      <w:rPr>
        <w:rStyle w:val="PageNumber"/>
        <w:rFonts w:ascii="Arial" w:hAnsi="Arial" w:cs="Arial"/>
        <w:b w:val="0"/>
        <w:i/>
        <w:sz w:val="16"/>
        <w:szCs w:val="16"/>
      </w:rPr>
      <w:instrText xml:space="preserve"> PAGE </w:instrText>
    </w:r>
    <w:r w:rsidR="000C4020">
      <w:rPr>
        <w:rStyle w:val="PageNumber"/>
        <w:rFonts w:ascii="Arial" w:hAnsi="Arial" w:cs="Arial"/>
        <w:b w:val="0"/>
        <w:i/>
        <w:sz w:val="16"/>
        <w:szCs w:val="16"/>
      </w:rPr>
      <w:fldChar w:fldCharType="separate"/>
    </w:r>
    <w:r w:rsidR="006834E0">
      <w:rPr>
        <w:rStyle w:val="PageNumber"/>
        <w:rFonts w:ascii="Arial" w:hAnsi="Arial" w:cs="Arial"/>
        <w:b w:val="0"/>
        <w:i/>
        <w:noProof/>
        <w:sz w:val="16"/>
        <w:szCs w:val="16"/>
      </w:rPr>
      <w:t>7</w:t>
    </w:r>
    <w:r w:rsidR="000C402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CAF" w:rsidRDefault="00D66CAF">
      <w:r>
        <w:separator/>
      </w:r>
    </w:p>
  </w:footnote>
  <w:footnote w:type="continuationSeparator" w:id="0">
    <w:p w:rsidR="00D66CAF" w:rsidRDefault="00D66CAF">
      <w:r>
        <w:continuationSeparator/>
      </w:r>
    </w:p>
  </w:footnote>
  <w:footnote w:type="continuationNotice" w:id="1">
    <w:p w:rsidR="00D66CAF" w:rsidRDefault="00D66C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020" w:rsidRDefault="000C402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435248B"/>
    <w:multiLevelType w:val="hybridMultilevel"/>
    <w:tmpl w:val="59769F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0C913D7E"/>
    <w:multiLevelType w:val="hybridMultilevel"/>
    <w:tmpl w:val="A31E517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2CA6203"/>
    <w:multiLevelType w:val="hybridMultilevel"/>
    <w:tmpl w:val="A6E4E8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2FC"/>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286775"/>
    <w:multiLevelType w:val="hybridMultilevel"/>
    <w:tmpl w:val="66D0C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F6044F"/>
    <w:multiLevelType w:val="hybridMultilevel"/>
    <w:tmpl w:val="D04C78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545E6"/>
    <w:multiLevelType w:val="hybridMultilevel"/>
    <w:tmpl w:val="CF9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7">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40F8E"/>
    <w:multiLevelType w:val="hybridMultilevel"/>
    <w:tmpl w:val="47F0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05A72"/>
    <w:multiLevelType w:val="hybridMultilevel"/>
    <w:tmpl w:val="FB7E9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F059C8"/>
    <w:multiLevelType w:val="hybridMultilevel"/>
    <w:tmpl w:val="2E9EE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276849"/>
    <w:multiLevelType w:val="hybridMultilevel"/>
    <w:tmpl w:val="BFE64A6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B87790"/>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0"/>
  </w:num>
  <w:num w:numId="4">
    <w:abstractNumId w:val="6"/>
  </w:num>
  <w:num w:numId="5">
    <w:abstractNumId w:val="7"/>
  </w:num>
  <w:num w:numId="6">
    <w:abstractNumId w:val="14"/>
  </w:num>
  <w:num w:numId="7">
    <w:abstractNumId w:val="0"/>
  </w:num>
  <w:num w:numId="8">
    <w:abstractNumId w:val="24"/>
  </w:num>
  <w:num w:numId="9">
    <w:abstractNumId w:val="8"/>
  </w:num>
  <w:num w:numId="10">
    <w:abstractNumId w:val="5"/>
  </w:num>
  <w:num w:numId="11">
    <w:abstractNumId w:val="37"/>
  </w:num>
  <w:num w:numId="12">
    <w:abstractNumId w:val="12"/>
  </w:num>
  <w:num w:numId="13">
    <w:abstractNumId w:val="11"/>
  </w:num>
  <w:num w:numId="14">
    <w:abstractNumId w:val="16"/>
  </w:num>
  <w:num w:numId="15">
    <w:abstractNumId w:val="26"/>
  </w:num>
  <w:num w:numId="16">
    <w:abstractNumId w:val="9"/>
  </w:num>
  <w:num w:numId="17">
    <w:abstractNumId w:val="20"/>
  </w:num>
  <w:num w:numId="18">
    <w:abstractNumId w:val="35"/>
  </w:num>
  <w:num w:numId="19">
    <w:abstractNumId w:val="25"/>
  </w:num>
  <w:num w:numId="20">
    <w:abstractNumId w:val="3"/>
  </w:num>
  <w:num w:numId="21">
    <w:abstractNumId w:val="32"/>
  </w:num>
  <w:num w:numId="22">
    <w:abstractNumId w:val="27"/>
  </w:num>
  <w:num w:numId="23">
    <w:abstractNumId w:val="10"/>
  </w:num>
  <w:num w:numId="24">
    <w:abstractNumId w:val="22"/>
  </w:num>
  <w:num w:numId="25">
    <w:abstractNumId w:val="31"/>
  </w:num>
  <w:num w:numId="26">
    <w:abstractNumId w:val="1"/>
  </w:num>
  <w:num w:numId="27">
    <w:abstractNumId w:val="23"/>
  </w:num>
  <w:num w:numId="28">
    <w:abstractNumId w:val="36"/>
  </w:num>
  <w:num w:numId="29">
    <w:abstractNumId w:val="17"/>
  </w:num>
  <w:num w:numId="30">
    <w:abstractNumId w:val="28"/>
  </w:num>
  <w:num w:numId="31">
    <w:abstractNumId w:val="18"/>
  </w:num>
  <w:num w:numId="32">
    <w:abstractNumId w:val="4"/>
  </w:num>
  <w:num w:numId="33">
    <w:abstractNumId w:val="13"/>
  </w:num>
  <w:num w:numId="34">
    <w:abstractNumId w:val="2"/>
  </w:num>
  <w:num w:numId="35">
    <w:abstractNumId w:val="33"/>
  </w:num>
  <w:num w:numId="36">
    <w:abstractNumId w:val="34"/>
  </w:num>
  <w:num w:numId="37">
    <w:abstractNumId w:val="29"/>
  </w:num>
  <w:num w:numId="3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17C09"/>
    <w:rsid w:val="00021987"/>
    <w:rsid w:val="000265B6"/>
    <w:rsid w:val="00027CAA"/>
    <w:rsid w:val="00030744"/>
    <w:rsid w:val="00033A28"/>
    <w:rsid w:val="00035A01"/>
    <w:rsid w:val="0003642C"/>
    <w:rsid w:val="00042551"/>
    <w:rsid w:val="000440F2"/>
    <w:rsid w:val="000443D6"/>
    <w:rsid w:val="0005020D"/>
    <w:rsid w:val="00050320"/>
    <w:rsid w:val="000514F8"/>
    <w:rsid w:val="00055D78"/>
    <w:rsid w:val="0006246F"/>
    <w:rsid w:val="000632CB"/>
    <w:rsid w:val="00073FE9"/>
    <w:rsid w:val="000742A6"/>
    <w:rsid w:val="00075A0F"/>
    <w:rsid w:val="00075FEE"/>
    <w:rsid w:val="000764ED"/>
    <w:rsid w:val="0008451B"/>
    <w:rsid w:val="00085B91"/>
    <w:rsid w:val="000864C8"/>
    <w:rsid w:val="00087249"/>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020"/>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258"/>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71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57AF"/>
    <w:rsid w:val="001D7047"/>
    <w:rsid w:val="001D7C2E"/>
    <w:rsid w:val="001E04F7"/>
    <w:rsid w:val="001E0674"/>
    <w:rsid w:val="001E0DF0"/>
    <w:rsid w:val="001E1525"/>
    <w:rsid w:val="001E7C96"/>
    <w:rsid w:val="001E7D1C"/>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4890"/>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021E"/>
    <w:rsid w:val="003B116B"/>
    <w:rsid w:val="003B135F"/>
    <w:rsid w:val="003B2111"/>
    <w:rsid w:val="003B47FD"/>
    <w:rsid w:val="003C0B3E"/>
    <w:rsid w:val="003C0C2B"/>
    <w:rsid w:val="003C13C9"/>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A7FC8"/>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17F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11D2"/>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34E0"/>
    <w:rsid w:val="006855A2"/>
    <w:rsid w:val="00686B2B"/>
    <w:rsid w:val="00687244"/>
    <w:rsid w:val="00691278"/>
    <w:rsid w:val="00695201"/>
    <w:rsid w:val="00695B54"/>
    <w:rsid w:val="00695C24"/>
    <w:rsid w:val="00696673"/>
    <w:rsid w:val="00697C04"/>
    <w:rsid w:val="006A1661"/>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8B9"/>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8CE"/>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D54"/>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135"/>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31C8"/>
    <w:rsid w:val="00A941D8"/>
    <w:rsid w:val="00A94C64"/>
    <w:rsid w:val="00A9787F"/>
    <w:rsid w:val="00A9789C"/>
    <w:rsid w:val="00AA2584"/>
    <w:rsid w:val="00AB1A63"/>
    <w:rsid w:val="00AB4CC9"/>
    <w:rsid w:val="00AB5F52"/>
    <w:rsid w:val="00AB6895"/>
    <w:rsid w:val="00AC05DB"/>
    <w:rsid w:val="00AC186D"/>
    <w:rsid w:val="00AC206B"/>
    <w:rsid w:val="00AC2330"/>
    <w:rsid w:val="00AC50A7"/>
    <w:rsid w:val="00AC6476"/>
    <w:rsid w:val="00AC6E05"/>
    <w:rsid w:val="00AD15BD"/>
    <w:rsid w:val="00AD2CB3"/>
    <w:rsid w:val="00AD3A61"/>
    <w:rsid w:val="00AD4A0D"/>
    <w:rsid w:val="00AD6834"/>
    <w:rsid w:val="00AE31F1"/>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1408"/>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1846"/>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4E3C"/>
    <w:rsid w:val="00C853FD"/>
    <w:rsid w:val="00C9001A"/>
    <w:rsid w:val="00CA2B01"/>
    <w:rsid w:val="00CA3CE6"/>
    <w:rsid w:val="00CA55F4"/>
    <w:rsid w:val="00CB033E"/>
    <w:rsid w:val="00CB5E13"/>
    <w:rsid w:val="00CC01DB"/>
    <w:rsid w:val="00CC0A42"/>
    <w:rsid w:val="00CC0EA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6CAF"/>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7C3"/>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1E28"/>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0290"/>
    <w:rsid w:val="00F41114"/>
    <w:rsid w:val="00F43499"/>
    <w:rsid w:val="00F45978"/>
    <w:rsid w:val="00F47248"/>
    <w:rsid w:val="00F50504"/>
    <w:rsid w:val="00F52409"/>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1CBB"/>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8C4E02B-DA9C-4EC1-8B2B-02E9A189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uiPriority w:val="20"/>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57580187">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36E06EB1-EBFA-4A47-BCF9-39DAC79E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43</cp:revision>
  <cp:lastPrinted>2012-12-07T17:42:00Z</cp:lastPrinted>
  <dcterms:created xsi:type="dcterms:W3CDTF">2015-02-19T17:20:00Z</dcterms:created>
  <dcterms:modified xsi:type="dcterms:W3CDTF">2015-05-21T22:11:00Z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