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80682A">
        <w:rPr>
          <w:rFonts w:asciiTheme="minorHAnsi" w:hAnsiTheme="minorHAnsi"/>
          <w:b/>
          <w:kern w:val="28"/>
          <w:sz w:val="40"/>
        </w:rPr>
        <w:t>GH325</w:t>
      </w:r>
      <w:r w:rsidR="0095165B">
        <w:rPr>
          <w:rFonts w:asciiTheme="minorHAnsi" w:hAnsiTheme="minorHAnsi"/>
          <w:b/>
          <w:kern w:val="28"/>
          <w:sz w:val="40"/>
        </w:rPr>
        <w:t xml:space="preserve"> </w:t>
      </w:r>
    </w:p>
    <w:p w:rsidR="0080682A" w:rsidRDefault="0080682A" w:rsidP="00510A21">
      <w:pPr>
        <w:jc w:val="center"/>
        <w:rPr>
          <w:rFonts w:asciiTheme="minorHAnsi" w:hAnsiTheme="minorHAnsi"/>
          <w:b/>
          <w:kern w:val="28"/>
          <w:sz w:val="40"/>
        </w:rPr>
      </w:pPr>
      <w:r w:rsidRPr="0080682A">
        <w:rPr>
          <w:rFonts w:asciiTheme="minorHAnsi" w:hAnsiTheme="minorHAnsi"/>
          <w:b/>
          <w:kern w:val="28"/>
          <w:sz w:val="40"/>
        </w:rPr>
        <w:t xml:space="preserve">Rate Restrictions - Determine how to program around errors </w:t>
      </w:r>
    </w:p>
    <w:p w:rsidR="004965B8" w:rsidRPr="00353B7A" w:rsidRDefault="0080682A" w:rsidP="00510A21">
      <w:pPr>
        <w:jc w:val="center"/>
        <w:rPr>
          <w:rFonts w:asciiTheme="minorHAnsi" w:hAnsiTheme="minorHAnsi"/>
          <w:b/>
          <w:kern w:val="28"/>
          <w:sz w:val="40"/>
        </w:rPr>
      </w:pPr>
      <w:r w:rsidRPr="0080682A">
        <w:rPr>
          <w:rFonts w:asciiTheme="minorHAnsi" w:hAnsiTheme="minorHAnsi"/>
          <w:b/>
          <w:kern w:val="28"/>
          <w:sz w:val="40"/>
        </w:rPr>
        <w:t>(CR 14087)</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bookmarkStart w:id="0" w:name="_GoBack"/>
      <w:bookmarkEnd w:id="0"/>
      <w:r w:rsidR="006B0331" w:rsidRPr="006B0331">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7" w:name="_Toc410897118"/>
      <w:bookmarkEnd w:id="1"/>
      <w:bookmarkEnd w:id="2"/>
      <w:bookmarkEnd w:id="3"/>
      <w:bookmarkEnd w:id="4"/>
      <w:bookmarkEnd w:id="5"/>
      <w:bookmarkEnd w:id="6"/>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0897119"/>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2" w:name="_Toc410897120"/>
      <w:bookmarkStart w:id="13" w:name="_Toc342757861"/>
      <w:bookmarkStart w:id="14" w:name="_Toc346297769"/>
      <w:bookmarkStart w:id="15" w:name="_Toc404134499"/>
      <w:r w:rsidRPr="00353B7A">
        <w:rPr>
          <w:rFonts w:asciiTheme="minorHAnsi" w:hAnsiTheme="minorHAnsi"/>
        </w:rPr>
        <w:t>Bug list for current release</w:t>
      </w:r>
      <w:bookmarkEnd w:id="12"/>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80682A" w:rsidP="0095165B">
            <w:pPr>
              <w:jc w:val="center"/>
              <w:rPr>
                <w:rFonts w:asciiTheme="minorHAnsi" w:hAnsiTheme="minorHAnsi"/>
              </w:rPr>
            </w:pPr>
            <w:r>
              <w:rPr>
                <w:rFonts w:asciiTheme="minorHAnsi" w:hAnsiTheme="minorHAnsi"/>
              </w:rPr>
              <w:t>325</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80682A" w:rsidP="007B3B5A">
            <w:pPr>
              <w:rPr>
                <w:rFonts w:asciiTheme="minorHAnsi" w:hAnsiTheme="minorHAnsi"/>
                <w:kern w:val="28"/>
                <w:sz w:val="22"/>
                <w:szCs w:val="22"/>
              </w:rPr>
            </w:pPr>
            <w:r w:rsidRPr="0080682A">
              <w:rPr>
                <w:rFonts w:asciiTheme="minorHAnsi" w:hAnsiTheme="minorHAnsi"/>
                <w:kern w:val="28"/>
                <w:sz w:val="22"/>
                <w:szCs w:val="22"/>
              </w:rPr>
              <w:t>Rate Restrictions - Determine how to program around errors (CR 14087)</w:t>
            </w: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bookmarkEnd w:id="13"/>
      <w:bookmarkEnd w:id="14"/>
      <w:bookmarkEnd w:id="15"/>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9" w:name="_Toc379450809"/>
      <w:bookmarkStart w:id="20" w:name="_Toc410897121"/>
      <w:r>
        <w:rPr>
          <w:rFonts w:asciiTheme="minorHAnsi" w:hAnsiTheme="minorHAnsi"/>
        </w:rPr>
        <w:t xml:space="preserve">Overview and </w:t>
      </w:r>
      <w:r w:rsidR="00624DB8" w:rsidRPr="00353B7A">
        <w:rPr>
          <w:rFonts w:asciiTheme="minorHAnsi" w:hAnsiTheme="minorHAnsi"/>
        </w:rPr>
        <w:t>Assumptions</w:t>
      </w:r>
      <w:bookmarkEnd w:id="19"/>
      <w:bookmarkEnd w:id="20"/>
      <w:r>
        <w:rPr>
          <w:rFonts w:asciiTheme="minorHAnsi" w:hAnsiTheme="minorHAnsi"/>
        </w:rPr>
        <w:t xml:space="preserve"> </w:t>
      </w:r>
    </w:p>
    <w:p w:rsidR="0095165B" w:rsidRDefault="0080682A" w:rsidP="0095165B">
      <w:pPr>
        <w:pStyle w:val="BodyText"/>
        <w:rPr>
          <w:rFonts w:asciiTheme="minorHAnsi" w:hAnsiTheme="minorHAnsi"/>
        </w:rPr>
      </w:pPr>
      <w:r>
        <w:rPr>
          <w:rFonts w:asciiTheme="minorHAnsi" w:hAnsiTheme="minorHAnsi"/>
        </w:rPr>
        <w:t xml:space="preserve">Since the text boxes for “After year 1” and so on in “Customer Rate Restriction” are free flow text boxes without any validation on them i.e. a rep can put in anything in them which is why data flowing to </w:t>
      </w:r>
      <w:proofErr w:type="spellStart"/>
      <w:r>
        <w:rPr>
          <w:rFonts w:asciiTheme="minorHAnsi" w:hAnsiTheme="minorHAnsi"/>
        </w:rPr>
        <w:t>infopro</w:t>
      </w:r>
      <w:proofErr w:type="spellEnd"/>
      <w:r>
        <w:rPr>
          <w:rFonts w:asciiTheme="minorHAnsi" w:hAnsiTheme="minorHAnsi"/>
        </w:rPr>
        <w:t xml:space="preserve"> is not consistent.</w:t>
      </w:r>
    </w:p>
    <w:p w:rsidR="0080682A" w:rsidRPr="00353B7A" w:rsidRDefault="0080682A" w:rsidP="0095165B">
      <w:pPr>
        <w:pStyle w:val="BodyText"/>
        <w:rPr>
          <w:rFonts w:asciiTheme="minorHAnsi" w:hAnsiTheme="minorHAnsi"/>
        </w:rPr>
      </w:pPr>
      <w:r>
        <w:rPr>
          <w:noProof/>
        </w:rPr>
        <w:drawing>
          <wp:inline distT="0" distB="0" distL="0" distR="0" wp14:anchorId="5B5587F3" wp14:editId="63E61545">
            <wp:extent cx="344805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8050" cy="2028825"/>
                    </a:xfrm>
                    <a:prstGeom prst="rect">
                      <a:avLst/>
                    </a:prstGeom>
                  </pic:spPr>
                </pic:pic>
              </a:graphicData>
            </a:graphic>
          </wp:inline>
        </w:drawing>
      </w:r>
    </w:p>
    <w:p w:rsidR="00624DB8" w:rsidRPr="00353B7A" w:rsidRDefault="00624DB8" w:rsidP="00624DB8">
      <w:pPr>
        <w:pStyle w:val="Heading1"/>
        <w:rPr>
          <w:rFonts w:asciiTheme="minorHAnsi" w:hAnsiTheme="minorHAnsi"/>
        </w:rPr>
      </w:pPr>
      <w:bookmarkStart w:id="21" w:name="_Toc410897122"/>
      <w:r w:rsidRPr="00353B7A">
        <w:rPr>
          <w:rFonts w:asciiTheme="minorHAnsi" w:hAnsiTheme="minorHAnsi"/>
        </w:rPr>
        <w:t>Design</w:t>
      </w:r>
      <w:bookmarkEnd w:id="21"/>
    </w:p>
    <w:p w:rsidR="007C30F5" w:rsidRDefault="0080682A"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w:t>
      </w:r>
      <w:r w:rsidR="00102E9B">
        <w:rPr>
          <w:rFonts w:asciiTheme="minorHAnsi" w:hAnsiTheme="minorHAnsi"/>
          <w:szCs w:val="28"/>
        </w:rPr>
        <w:t>3</w:t>
      </w:r>
      <w:r>
        <w:rPr>
          <w:rFonts w:asciiTheme="minorHAnsi" w:hAnsiTheme="minorHAnsi"/>
          <w:szCs w:val="28"/>
        </w:rPr>
        <w:t>25</w:t>
      </w:r>
      <w:r w:rsidR="00102E9B">
        <w:rPr>
          <w:rFonts w:asciiTheme="minorHAnsi" w:hAnsiTheme="minorHAnsi"/>
          <w:szCs w:val="28"/>
        </w:rPr>
        <w:t xml:space="preserve"> </w:t>
      </w:r>
      <w:r w:rsidRPr="0080682A">
        <w:rPr>
          <w:rFonts w:asciiTheme="minorHAnsi" w:hAnsiTheme="minorHAnsi"/>
          <w:szCs w:val="28"/>
        </w:rPr>
        <w:t>Rate Restrictions - Determine how to program around errors (CR 14087)</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102E9B" w:rsidRDefault="0080682A" w:rsidP="0095165B">
      <w:pPr>
        <w:pStyle w:val="NoSpacing"/>
      </w:pPr>
      <w:r>
        <w:t xml:space="preserve">To resolve the Issue mentioned above, a validation rule is to be created to validate and throw an error if the value put in the text boxes is a “Float” </w:t>
      </w:r>
      <w:proofErr w:type="spellStart"/>
      <w:r>
        <w:t>upto</w:t>
      </w:r>
      <w:proofErr w:type="spellEnd"/>
      <w:r>
        <w:t xml:space="preserve"> 2 decimal places. </w:t>
      </w:r>
      <w:proofErr w:type="gramStart"/>
      <w:r>
        <w:t xml:space="preserve">Since the proposed change will not allow reps to enter the word “CPI” in these text boxes anymore which is why we will be creating a new Boolean variable </w:t>
      </w:r>
      <w:r w:rsidR="0025555B">
        <w:t>“</w:t>
      </w:r>
      <w:proofErr w:type="spellStart"/>
      <w:r w:rsidR="0025555B">
        <w:t>CPI_boolean_quote</w:t>
      </w:r>
      <w:proofErr w:type="spellEnd"/>
      <w:r w:rsidR="0025555B">
        <w:t xml:space="preserve">” </w:t>
      </w:r>
      <w:r>
        <w:t>interfaced as a check box to allow reps to select or not select it.</w:t>
      </w:r>
      <w:proofErr w:type="gramEnd"/>
      <w:r>
        <w:t xml:space="preserve"> Now when we choose a rate restriction to be “CPI” then the text boxes which takes the percentages becomes hidden. Also, the new CPI Boolean variable is added to the already existing constrain, validation and hiding rules. Also, </w:t>
      </w:r>
      <w:proofErr w:type="gramStart"/>
      <w:r>
        <w:t xml:space="preserve">changes to the </w:t>
      </w:r>
      <w:r w:rsidR="0025555B">
        <w:t>“year1RatePrint_quote” and so on has</w:t>
      </w:r>
      <w:proofErr w:type="gramEnd"/>
      <w:r w:rsidR="0025555B">
        <w:t xml:space="preserve"> to be made in “Set Rate Restriction” for it to be updated as per new logic for CSA printing.</w:t>
      </w:r>
    </w:p>
    <w:p w:rsidR="0095165B" w:rsidRDefault="0025555B" w:rsidP="005462AD">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lastRenderedPageBreak/>
        <w:drawing>
          <wp:inline distT="0" distB="0" distL="0" distR="0" wp14:anchorId="52E538B9" wp14:editId="3EBDE6DA">
            <wp:extent cx="50673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67300" cy="1771650"/>
                    </a:xfrm>
                    <a:prstGeom prst="rect">
                      <a:avLst/>
                    </a:prstGeom>
                  </pic:spPr>
                </pic:pic>
              </a:graphicData>
            </a:graphic>
          </wp:inline>
        </w:drawing>
      </w:r>
    </w:p>
    <w:p w:rsidR="00346929" w:rsidRPr="00353B7A" w:rsidRDefault="0095165B" w:rsidP="00A03395">
      <w:pPr>
        <w:pStyle w:val="NormalWeb"/>
        <w:shd w:val="clear" w:color="auto" w:fill="FFFFFF"/>
        <w:spacing w:before="0" w:beforeAutospacing="0" w:line="336" w:lineRule="atLeast"/>
        <w:ind w:left="-1170" w:firstLine="90"/>
        <w:rPr>
          <w:rFonts w:asciiTheme="minorHAnsi" w:hAnsiTheme="minorHAnsi"/>
        </w:rPr>
      </w:pPr>
      <w:r>
        <w:rPr>
          <w:rFonts w:ascii="Helvetica" w:hAnsi="Helvetica" w:cs="Helvetica"/>
          <w:color w:val="333333"/>
          <w:sz w:val="21"/>
          <w:szCs w:val="21"/>
        </w:rPr>
        <w:br/>
      </w:r>
    </w:p>
    <w:p w:rsidR="00E16C04" w:rsidRPr="00353B7A" w:rsidRDefault="005462AD" w:rsidP="0092038A">
      <w:pPr>
        <w:pStyle w:val="Heading1"/>
        <w:jc w:val="both"/>
        <w:rPr>
          <w:rFonts w:asciiTheme="minorHAnsi" w:hAnsiTheme="minorHAnsi"/>
        </w:rPr>
      </w:pPr>
      <w:bookmarkStart w:id="22" w:name="_Toc410897124"/>
      <w:r>
        <w:rPr>
          <w:rFonts w:asciiTheme="minorHAnsi" w:hAnsiTheme="minorHAnsi"/>
        </w:rPr>
        <w:t>Impacted Systems (</w:t>
      </w:r>
      <w:r w:rsidR="00E16C04" w:rsidRPr="00353B7A">
        <w:rPr>
          <w:rFonts w:asciiTheme="minorHAnsi" w:hAnsiTheme="minorHAnsi"/>
        </w:rPr>
        <w:t>InfoPro</w:t>
      </w:r>
      <w:bookmarkEnd w:id="22"/>
      <w:r>
        <w:rPr>
          <w:rFonts w:asciiTheme="minorHAnsi" w:hAnsiTheme="minorHAnsi"/>
        </w:rPr>
        <w:t>, TIBCO and BI)</w:t>
      </w:r>
    </w:p>
    <w:p w:rsidR="00353B7A" w:rsidRDefault="001C490B" w:rsidP="00353B7A">
      <w:pPr>
        <w:pStyle w:val="BodyText"/>
        <w:ind w:left="432"/>
        <w:rPr>
          <w:rFonts w:asciiTheme="minorHAnsi" w:hAnsiTheme="minorHAnsi"/>
          <w:sz w:val="22"/>
          <w:szCs w:val="22"/>
        </w:rPr>
      </w:pPr>
      <w:r>
        <w:rPr>
          <w:rFonts w:asciiTheme="minorHAnsi" w:hAnsiTheme="minorHAnsi"/>
          <w:sz w:val="22"/>
          <w:szCs w:val="22"/>
        </w:rPr>
        <w:t xml:space="preserve">New variables </w:t>
      </w:r>
      <w:r w:rsidR="002F37BE">
        <w:rPr>
          <w:rFonts w:asciiTheme="minorHAnsi" w:hAnsiTheme="minorHAnsi"/>
          <w:sz w:val="22"/>
          <w:szCs w:val="22"/>
        </w:rPr>
        <w:t xml:space="preserve">(below) </w:t>
      </w:r>
      <w:r w:rsidR="0025555B">
        <w:rPr>
          <w:rFonts w:asciiTheme="minorHAnsi" w:hAnsiTheme="minorHAnsi"/>
          <w:sz w:val="22"/>
          <w:szCs w:val="22"/>
        </w:rPr>
        <w:t>will affect InfoPro AAE process</w:t>
      </w:r>
      <w:r>
        <w:rPr>
          <w:rFonts w:asciiTheme="minorHAnsi" w:hAnsiTheme="minorHAnsi"/>
          <w:sz w:val="22"/>
          <w:szCs w:val="22"/>
        </w:rPr>
        <w:t>.</w:t>
      </w:r>
    </w:p>
    <w:p w:rsidR="002F37BE" w:rsidRPr="0025555B" w:rsidRDefault="0025555B" w:rsidP="0025555B">
      <w:pPr>
        <w:pStyle w:val="NoSpacing"/>
        <w:numPr>
          <w:ilvl w:val="0"/>
          <w:numId w:val="29"/>
        </w:numPr>
        <w:ind w:left="990"/>
        <w:rPr>
          <w:sz w:val="22"/>
          <w:szCs w:val="22"/>
        </w:rPr>
      </w:pPr>
      <w:proofErr w:type="spellStart"/>
      <w:r>
        <w:t>CPI_boolean_quote</w:t>
      </w:r>
      <w:proofErr w:type="spellEnd"/>
      <w:r>
        <w:t xml:space="preserve"> </w:t>
      </w:r>
    </w:p>
    <w:p w:rsidR="0025555B" w:rsidRDefault="0025555B" w:rsidP="0025555B">
      <w:pPr>
        <w:pStyle w:val="NoSpacing"/>
        <w:ind w:left="432"/>
      </w:pPr>
      <w:r>
        <w:t>Now the status of CPI or not is to be flown through the attribute mentioned above.</w:t>
      </w:r>
    </w:p>
    <w:p w:rsidR="0025555B" w:rsidRDefault="0025555B" w:rsidP="0025555B">
      <w:pPr>
        <w:pStyle w:val="NoSpacing"/>
        <w:ind w:left="432"/>
      </w:pPr>
      <w:r>
        <w:t>Also, the text boxes taking the %ages for each year can take first 6 characters and truncate rest.</w:t>
      </w:r>
    </w:p>
    <w:p w:rsidR="0025555B" w:rsidRPr="0025555B" w:rsidRDefault="0025555B" w:rsidP="0025555B">
      <w:pPr>
        <w:pStyle w:val="NoSpacing"/>
        <w:rPr>
          <w:sz w:val="22"/>
          <w:szCs w:val="22"/>
        </w:rPr>
      </w:pPr>
    </w:p>
    <w:p w:rsidR="006D7B32" w:rsidRPr="00353B7A" w:rsidRDefault="00C539DD" w:rsidP="0092038A">
      <w:pPr>
        <w:pStyle w:val="Heading1"/>
        <w:jc w:val="both"/>
        <w:rPr>
          <w:rFonts w:asciiTheme="minorHAnsi" w:hAnsiTheme="minorHAnsi"/>
        </w:rPr>
      </w:pPr>
      <w:bookmarkStart w:id="23" w:name="_Toc410897125"/>
      <w:r w:rsidRPr="00353B7A">
        <w:rPr>
          <w:rFonts w:asciiTheme="minorHAnsi" w:hAnsiTheme="minorHAnsi"/>
        </w:rPr>
        <w:t>Report Changes</w:t>
      </w:r>
      <w:bookmarkEnd w:id="23"/>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4" w:name="_Toc410897126"/>
      <w:r w:rsidRPr="00353B7A">
        <w:rPr>
          <w:rFonts w:asciiTheme="minorHAnsi" w:hAnsiTheme="minorHAnsi"/>
        </w:rPr>
        <w:t>Appendix</w:t>
      </w:r>
      <w:bookmarkEnd w:id="24"/>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CEA" w:rsidRDefault="00E93CEA">
      <w:r>
        <w:separator/>
      </w:r>
    </w:p>
  </w:endnote>
  <w:endnote w:type="continuationSeparator" w:id="0">
    <w:p w:rsidR="00E93CEA" w:rsidRDefault="00E93CEA">
      <w:r>
        <w:continuationSeparator/>
      </w:r>
    </w:p>
  </w:endnote>
  <w:endnote w:type="continuationNotice" w:id="1">
    <w:p w:rsidR="00E93CEA" w:rsidRDefault="00E93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E93CE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80682A">
      <w:rPr>
        <w:noProof/>
      </w:rPr>
      <w:t>5/19/2015 9:14:29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6B0331">
      <w:rPr>
        <w:rStyle w:val="PageNumber"/>
        <w:rFonts w:ascii="Arial" w:hAnsi="Arial" w:cs="Arial"/>
        <w:b w:val="0"/>
        <w:i/>
        <w:noProof/>
        <w:sz w:val="16"/>
        <w:szCs w:val="16"/>
      </w:rPr>
      <w:t>5</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CEA" w:rsidRDefault="00E93CEA">
      <w:r>
        <w:separator/>
      </w:r>
    </w:p>
  </w:footnote>
  <w:footnote w:type="continuationSeparator" w:id="0">
    <w:p w:rsidR="00E93CEA" w:rsidRDefault="00E93CEA">
      <w:r>
        <w:continuationSeparator/>
      </w:r>
    </w:p>
  </w:footnote>
  <w:footnote w:type="continuationNotice" w:id="1">
    <w:p w:rsidR="00E93CEA" w:rsidRDefault="00E93C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372F3"/>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555B"/>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462AD"/>
    <w:rsid w:val="00550A44"/>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331"/>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682A"/>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3CEA"/>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8641DB62-B7A1-49C8-89B2-9EACD7B3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3</cp:revision>
  <cp:lastPrinted>2012-12-07T17:42:00Z</cp:lastPrinted>
  <dcterms:created xsi:type="dcterms:W3CDTF">2015-05-19T18:19:00Z</dcterms:created>
  <dcterms:modified xsi:type="dcterms:W3CDTF">2015-05-19T18:20:00Z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