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0060B8">
        <w:rPr>
          <w:rFonts w:asciiTheme="minorHAnsi" w:hAnsiTheme="minorHAnsi"/>
          <w:b/>
          <w:kern w:val="28"/>
          <w:sz w:val="40"/>
        </w:rPr>
        <w:t>GH571</w:t>
      </w:r>
      <w:r w:rsidR="0095165B">
        <w:rPr>
          <w:rFonts w:asciiTheme="minorHAnsi" w:hAnsiTheme="minorHAnsi"/>
          <w:b/>
          <w:kern w:val="28"/>
          <w:sz w:val="40"/>
        </w:rPr>
        <w:t xml:space="preserve"> </w:t>
      </w:r>
    </w:p>
    <w:p w:rsidR="004965B8" w:rsidRPr="00353B7A" w:rsidRDefault="000060B8" w:rsidP="00510A21">
      <w:pPr>
        <w:jc w:val="center"/>
        <w:rPr>
          <w:rFonts w:asciiTheme="minorHAnsi" w:hAnsiTheme="minorHAnsi"/>
          <w:b/>
          <w:kern w:val="28"/>
          <w:sz w:val="40"/>
        </w:rPr>
      </w:pPr>
      <w:r w:rsidRPr="000060B8">
        <w:rPr>
          <w:rFonts w:asciiTheme="minorHAnsi" w:hAnsiTheme="minorHAnsi"/>
          <w:b/>
          <w:kern w:val="28"/>
          <w:sz w:val="40"/>
        </w:rPr>
        <w:t>Existing customer Renewal Term bug (CR 14073)</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B351DB" w:rsidRPr="00B351DB">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102E9B" w:rsidP="0095165B">
            <w:pPr>
              <w:jc w:val="center"/>
              <w:rPr>
                <w:rFonts w:asciiTheme="minorHAnsi" w:hAnsiTheme="minorHAnsi"/>
              </w:rPr>
            </w:pPr>
            <w:r>
              <w:rPr>
                <w:rFonts w:asciiTheme="minorHAnsi" w:hAnsiTheme="minorHAnsi"/>
              </w:rPr>
              <w:t>57</w:t>
            </w:r>
            <w:r w:rsidR="000060B8">
              <w:rPr>
                <w:rFonts w:asciiTheme="minorHAnsi" w:hAnsiTheme="minorHAnsi"/>
              </w:rPr>
              <w:t>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0060B8" w:rsidP="007B3B5A">
            <w:pPr>
              <w:rPr>
                <w:rFonts w:asciiTheme="minorHAnsi" w:hAnsiTheme="minorHAnsi"/>
                <w:kern w:val="28"/>
                <w:sz w:val="22"/>
                <w:szCs w:val="22"/>
              </w:rPr>
            </w:pPr>
            <w:r w:rsidRPr="000060B8">
              <w:rPr>
                <w:rFonts w:asciiTheme="minorHAnsi" w:hAnsiTheme="minorHAnsi"/>
                <w:kern w:val="28"/>
                <w:sz w:val="22"/>
                <w:szCs w:val="22"/>
              </w:rPr>
              <w:t>Existing customer Renewal Term bug (CR 14073)</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0060B8" w:rsidP="0095165B">
      <w:pPr>
        <w:pStyle w:val="BodyText"/>
        <w:rPr>
          <w:rFonts w:asciiTheme="minorHAnsi" w:hAnsiTheme="minorHAnsi"/>
        </w:rPr>
      </w:pPr>
      <w:r>
        <w:rPr>
          <w:rFonts w:asciiTheme="minorHAnsi" w:hAnsiTheme="minorHAnsi"/>
        </w:rPr>
        <w:t>Since there is a rule created recently for few “A03” divisions to constrain all the values for renewal terms except “MTM” (</w:t>
      </w:r>
      <w:proofErr w:type="spellStart"/>
      <w:r w:rsidRPr="000060B8">
        <w:rPr>
          <w:rFonts w:asciiTheme="minorHAnsi" w:hAnsiTheme="minorHAnsi"/>
        </w:rPr>
        <w:t>Cosntrain</w:t>
      </w:r>
      <w:proofErr w:type="spellEnd"/>
      <w:r w:rsidRPr="000060B8">
        <w:rPr>
          <w:rFonts w:asciiTheme="minorHAnsi" w:hAnsiTheme="minorHAnsi"/>
        </w:rPr>
        <w:t xml:space="preserve"> for NJ Divisions</w:t>
      </w:r>
      <w:r>
        <w:rPr>
          <w:rFonts w:asciiTheme="minorHAnsi" w:hAnsiTheme="minorHAnsi"/>
        </w:rPr>
        <w:t xml:space="preserve">). </w:t>
      </w:r>
      <w:proofErr w:type="gramStart"/>
      <w:r>
        <w:rPr>
          <w:rFonts w:asciiTheme="minorHAnsi" w:hAnsiTheme="minorHAnsi"/>
        </w:rPr>
        <w:t>Which is conflicting with another function only for one division</w:t>
      </w:r>
      <w:r w:rsidR="00DC631F">
        <w:rPr>
          <w:rFonts w:asciiTheme="minorHAnsi" w:hAnsiTheme="minorHAnsi"/>
        </w:rPr>
        <w:t xml:space="preserve"> 4323</w:t>
      </w:r>
      <w:r>
        <w:rPr>
          <w:rFonts w:asciiTheme="minorHAnsi" w:hAnsiTheme="minorHAnsi"/>
        </w:rPr>
        <w:t>.</w:t>
      </w:r>
      <w:proofErr w:type="gramEnd"/>
      <w:r>
        <w:rPr>
          <w:rFonts w:asciiTheme="minorHAnsi" w:hAnsiTheme="minorHAnsi"/>
        </w:rPr>
        <w:t xml:space="preserve"> The other function is “</w:t>
      </w:r>
      <w:r w:rsidRPr="000060B8">
        <w:rPr>
          <w:rFonts w:asciiTheme="minorHAnsi" w:hAnsiTheme="minorHAnsi"/>
        </w:rPr>
        <w:t xml:space="preserve">Setting Defaults for Initial and Renewal terms based on </w:t>
      </w:r>
      <w:proofErr w:type="spellStart"/>
      <w:proofErr w:type="gramStart"/>
      <w:r w:rsidRPr="000060B8">
        <w:rPr>
          <w:rFonts w:asciiTheme="minorHAnsi" w:hAnsiTheme="minorHAnsi"/>
        </w:rPr>
        <w:t>lawson</w:t>
      </w:r>
      <w:proofErr w:type="spellEnd"/>
      <w:proofErr w:type="gramEnd"/>
      <w:r w:rsidRPr="000060B8">
        <w:rPr>
          <w:rFonts w:asciiTheme="minorHAnsi" w:hAnsiTheme="minorHAnsi"/>
        </w:rPr>
        <w:t xml:space="preserve"> division</w:t>
      </w:r>
      <w:r>
        <w:rPr>
          <w:rFonts w:asciiTheme="minorHAnsi" w:hAnsiTheme="minorHAnsi"/>
        </w:rPr>
        <w:t>”, So for division 4323 the default is “36” months which is constrained by the above mentioned constrain rule.</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0060B8"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#571</w:t>
      </w:r>
      <w:r w:rsidR="00102E9B">
        <w:rPr>
          <w:rFonts w:asciiTheme="minorHAnsi" w:hAnsiTheme="minorHAnsi"/>
          <w:szCs w:val="28"/>
        </w:rPr>
        <w:t xml:space="preserve"> </w:t>
      </w:r>
      <w:r w:rsidRPr="000060B8">
        <w:rPr>
          <w:rFonts w:asciiTheme="minorHAnsi" w:hAnsiTheme="minorHAnsi"/>
          <w:szCs w:val="28"/>
        </w:rPr>
        <w:t>Existing customer Renewal Term bug (CR 14073)</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B50DFB" w:rsidRPr="00B50DFB" w:rsidRDefault="000060B8" w:rsidP="00B50DFB">
      <w:pPr>
        <w:rPr>
          <w:rFonts w:asciiTheme="minorHAnsi" w:hAnsiTheme="minorHAnsi" w:cs="Consolas"/>
        </w:rPr>
      </w:pPr>
      <w:r>
        <w:rPr>
          <w:rStyle w:val="HTMLCode"/>
          <w:rFonts w:asciiTheme="minorHAnsi" w:hAnsiTheme="minorHAnsi" w:cs="Consolas"/>
        </w:rPr>
        <w:t>Division 4323 is to be removed from the constrain rule “</w:t>
      </w:r>
      <w:proofErr w:type="spellStart"/>
      <w:r w:rsidRPr="000060B8">
        <w:rPr>
          <w:rStyle w:val="HTMLCode"/>
          <w:rFonts w:asciiTheme="minorHAnsi" w:hAnsiTheme="minorHAnsi" w:cs="Consolas"/>
        </w:rPr>
        <w:t>Cosntrain</w:t>
      </w:r>
      <w:proofErr w:type="spellEnd"/>
      <w:r w:rsidRPr="000060B8">
        <w:rPr>
          <w:rStyle w:val="HTMLCode"/>
          <w:rFonts w:asciiTheme="minorHAnsi" w:hAnsiTheme="minorHAnsi" w:cs="Consolas"/>
        </w:rPr>
        <w:t xml:space="preserve"> for NJ Divisions</w:t>
      </w:r>
      <w:r>
        <w:rPr>
          <w:rStyle w:val="HTMLCode"/>
          <w:rFonts w:asciiTheme="minorHAnsi" w:hAnsiTheme="minorHAnsi" w:cs="Consolas"/>
        </w:rPr>
        <w:t xml:space="preserve">”, </w:t>
      </w:r>
      <w:proofErr w:type="gramStart"/>
      <w:r>
        <w:rPr>
          <w:rStyle w:val="HTMLCode"/>
          <w:rFonts w:asciiTheme="minorHAnsi" w:hAnsiTheme="minorHAnsi" w:cs="Consolas"/>
        </w:rPr>
        <w:t>Since</w:t>
      </w:r>
      <w:proofErr w:type="gramEnd"/>
      <w:r>
        <w:rPr>
          <w:rStyle w:val="HTMLCode"/>
          <w:rFonts w:asciiTheme="minorHAnsi" w:hAnsiTheme="minorHAnsi" w:cs="Consolas"/>
        </w:rPr>
        <w:t xml:space="preserve"> default renewal term for 4323 in “</w:t>
      </w:r>
      <w:proofErr w:type="spellStart"/>
      <w:r>
        <w:rPr>
          <w:rStyle w:val="HTMLCode"/>
          <w:rFonts w:asciiTheme="minorHAnsi" w:hAnsiTheme="minorHAnsi" w:cs="Consolas"/>
        </w:rPr>
        <w:t>Div_Terms_Exceptions</w:t>
      </w:r>
      <w:proofErr w:type="spellEnd"/>
      <w:r>
        <w:rPr>
          <w:rStyle w:val="HTMLCode"/>
          <w:rFonts w:asciiTheme="minorHAnsi" w:hAnsiTheme="minorHAnsi" w:cs="Consolas"/>
        </w:rPr>
        <w:t>” table is “36 Months”.</w:t>
      </w:r>
    </w:p>
    <w:p w:rsidR="00B50DFB" w:rsidRDefault="00B50DFB" w:rsidP="00B50DFB">
      <w:pPr>
        <w:rPr>
          <w:rFonts w:asciiTheme="minorHAnsi" w:hAnsiTheme="minorHAnsi"/>
        </w:rPr>
      </w:pPr>
    </w:p>
    <w:p w:rsidR="000060B8" w:rsidRDefault="000060B8" w:rsidP="00B50DFB">
      <w:pPr>
        <w:rPr>
          <w:rFonts w:asciiTheme="minorHAnsi" w:hAnsiTheme="minorHAnsi"/>
        </w:rPr>
      </w:pPr>
    </w:p>
    <w:p w:rsidR="000060B8" w:rsidRPr="00B50DFB" w:rsidRDefault="000060B8" w:rsidP="00B50DFB">
      <w:pPr>
        <w:rPr>
          <w:rFonts w:asciiTheme="minorHAnsi" w:hAnsiTheme="minorHAnsi"/>
        </w:rPr>
      </w:pPr>
      <w:r>
        <w:rPr>
          <w:rFonts w:asciiTheme="minorHAnsi" w:hAnsiTheme="minorHAnsi"/>
        </w:rPr>
        <w:t>No new variables will be created.</w:t>
      </w:r>
    </w:p>
    <w:p w:rsidR="0095165B" w:rsidRDefault="000060B8"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14:anchorId="6A927FE0" wp14:editId="34419481">
            <wp:extent cx="5715000" cy="2746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746986"/>
                    </a:xfrm>
                    <a:prstGeom prst="rect">
                      <a:avLst/>
                    </a:prstGeom>
                  </pic:spPr>
                </pic:pic>
              </a:graphicData>
            </a:graphic>
          </wp:inline>
        </w:drawing>
      </w:r>
    </w:p>
    <w:p w:rsidR="000060B8" w:rsidRDefault="000060B8"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14:anchorId="40C2A5FB" wp14:editId="20C00AB8">
            <wp:extent cx="5715000" cy="8145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814510"/>
                    </a:xfrm>
                    <a:prstGeom prst="rect">
                      <a:avLst/>
                    </a:prstGeom>
                  </pic:spPr>
                </pic:pic>
              </a:graphicData>
            </a:graphic>
          </wp:inline>
        </w:drawing>
      </w:r>
    </w:p>
    <w:p w:rsidR="000060B8" w:rsidRDefault="000060B8"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14:anchorId="7714CD6B" wp14:editId="249F5145">
            <wp:extent cx="5715000" cy="33648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364889"/>
                    </a:xfrm>
                    <a:prstGeom prst="rect">
                      <a:avLst/>
                    </a:prstGeom>
                  </pic:spPr>
                </pic:pic>
              </a:graphicData>
            </a:graphic>
          </wp:inline>
        </w:drawing>
      </w:r>
    </w:p>
    <w:p w:rsidR="0095165B" w:rsidRDefault="0095165B" w:rsidP="0095165B">
      <w:pPr>
        <w:pStyle w:val="NormalWeb"/>
        <w:shd w:val="clear" w:color="auto" w:fill="FFFFFF"/>
        <w:spacing w:before="0" w:beforeAutospacing="0" w:after="240" w:afterAutospacing="0" w:line="336" w:lineRule="atLeast"/>
        <w:ind w:hanging="1080"/>
        <w:rPr>
          <w:rFonts w:ascii="Helvetica" w:hAnsi="Helvetica" w:cs="Helvetica"/>
          <w:color w:val="333333"/>
          <w:sz w:val="21"/>
          <w:szCs w:val="21"/>
        </w:rPr>
      </w:pPr>
    </w:p>
    <w:p w:rsidR="00346929" w:rsidRPr="00353B7A" w:rsidRDefault="0095165B" w:rsidP="00C06CD4">
      <w:pPr>
        <w:pStyle w:val="NormalWeb"/>
        <w:shd w:val="clear" w:color="auto" w:fill="FFFFFF"/>
        <w:spacing w:before="0" w:beforeAutospacing="0" w:line="336" w:lineRule="atLeast"/>
        <w:ind w:left="-270" w:firstLine="90"/>
        <w:rPr>
          <w:rFonts w:asciiTheme="minorHAnsi" w:hAnsiTheme="minorHAnsi"/>
        </w:rPr>
      </w:pPr>
      <w:r>
        <w:rPr>
          <w:rFonts w:ascii="Helvetica" w:hAnsi="Helvetica" w:cs="Helvetica"/>
          <w:color w:val="333333"/>
          <w:sz w:val="21"/>
          <w:szCs w:val="21"/>
        </w:rPr>
        <w:lastRenderedPageBreak/>
        <w:br/>
      </w:r>
      <w:bookmarkStart w:id="21" w:name="_GoBack"/>
      <w:r w:rsidR="00C06CD4">
        <w:rPr>
          <w:noProof/>
        </w:rPr>
        <w:drawing>
          <wp:inline distT="0" distB="0" distL="0" distR="0" wp14:anchorId="17AB4EFC" wp14:editId="3B1785DC">
            <wp:extent cx="5715000" cy="32873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3287346"/>
                    </a:xfrm>
                    <a:prstGeom prst="rect">
                      <a:avLst/>
                    </a:prstGeom>
                  </pic:spPr>
                </pic:pic>
              </a:graphicData>
            </a:graphic>
          </wp:inline>
        </w:drawing>
      </w:r>
      <w:bookmarkEnd w:id="21"/>
    </w:p>
    <w:p w:rsidR="00E16C04" w:rsidRPr="00353B7A" w:rsidRDefault="00B351DB" w:rsidP="00B351DB">
      <w:pPr>
        <w:pStyle w:val="Heading1"/>
        <w:rPr>
          <w:rFonts w:asciiTheme="minorHAnsi" w:hAnsiTheme="minorHAnsi"/>
        </w:rPr>
      </w:pPr>
      <w:r w:rsidRPr="00B351DB">
        <w:rPr>
          <w:rFonts w:asciiTheme="minorHAnsi" w:hAnsiTheme="minorHAnsi"/>
        </w:rPr>
        <w:t>Impacted Systems (InfoPro, TIBCO and BI)</w:t>
      </w:r>
    </w:p>
    <w:p w:rsidR="00A03395" w:rsidRPr="00B50DFB" w:rsidRDefault="000060B8" w:rsidP="005F5746">
      <w:pPr>
        <w:pStyle w:val="BodyText"/>
        <w:ind w:left="432"/>
      </w:pPr>
      <w:r>
        <w:rPr>
          <w:rFonts w:asciiTheme="minorHAnsi" w:hAnsiTheme="minorHAnsi"/>
          <w:sz w:val="22"/>
          <w:szCs w:val="22"/>
        </w:rPr>
        <w:t>No n</w:t>
      </w:r>
      <w:r w:rsidR="001C490B">
        <w:rPr>
          <w:rFonts w:asciiTheme="minorHAnsi" w:hAnsiTheme="minorHAnsi"/>
          <w:sz w:val="22"/>
          <w:szCs w:val="22"/>
        </w:rPr>
        <w:t xml:space="preserve">ew variables </w:t>
      </w:r>
      <w:r>
        <w:rPr>
          <w:rFonts w:asciiTheme="minorHAnsi" w:hAnsiTheme="minorHAnsi"/>
          <w:sz w:val="22"/>
          <w:szCs w:val="22"/>
        </w:rPr>
        <w:t>were created hence</w:t>
      </w:r>
      <w:r w:rsidR="005F5746">
        <w:rPr>
          <w:rFonts w:asciiTheme="minorHAnsi" w:hAnsiTheme="minorHAnsi"/>
          <w:sz w:val="22"/>
          <w:szCs w:val="22"/>
        </w:rPr>
        <w:t xml:space="preserve"> this fix</w:t>
      </w:r>
      <w:r w:rsidR="002F37BE">
        <w:rPr>
          <w:rFonts w:asciiTheme="minorHAnsi" w:hAnsiTheme="minorHAnsi"/>
          <w:sz w:val="22"/>
          <w:szCs w:val="22"/>
        </w:rPr>
        <w:t xml:space="preserve"> </w:t>
      </w:r>
      <w:r w:rsidR="001C490B">
        <w:rPr>
          <w:rFonts w:asciiTheme="minorHAnsi" w:hAnsiTheme="minorHAnsi"/>
          <w:sz w:val="22"/>
          <w:szCs w:val="22"/>
        </w:rPr>
        <w:t>should not affect InfoPro AAE process</w:t>
      </w:r>
      <w:r w:rsidR="005F5746">
        <w:rPr>
          <w:rFonts w:asciiTheme="minorHAnsi" w:hAnsiTheme="minorHAnsi"/>
          <w:sz w:val="22"/>
          <w:szCs w:val="22"/>
        </w:rPr>
        <w:t>.</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3B6" w:rsidRDefault="00AF73B6">
      <w:r>
        <w:separator/>
      </w:r>
    </w:p>
  </w:endnote>
  <w:endnote w:type="continuationSeparator" w:id="0">
    <w:p w:rsidR="00AF73B6" w:rsidRDefault="00AF73B6">
      <w:r>
        <w:continuationSeparator/>
      </w:r>
    </w:p>
  </w:endnote>
  <w:endnote w:type="continuationNotice" w:id="1">
    <w:p w:rsidR="00AF73B6" w:rsidRDefault="00AF7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AF73B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C06CD4">
      <w:rPr>
        <w:noProof/>
      </w:rPr>
      <w:t>5/21/2015 2:34:12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C06CD4">
      <w:rPr>
        <w:rStyle w:val="PageNumber"/>
        <w:rFonts w:ascii="Arial" w:hAnsi="Arial" w:cs="Arial"/>
        <w:b w:val="0"/>
        <w:i/>
        <w:noProof/>
        <w:sz w:val="16"/>
        <w:szCs w:val="16"/>
      </w:rPr>
      <w:t>7</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3B6" w:rsidRDefault="00AF73B6">
      <w:r>
        <w:separator/>
      </w:r>
    </w:p>
  </w:footnote>
  <w:footnote w:type="continuationSeparator" w:id="0">
    <w:p w:rsidR="00AF73B6" w:rsidRDefault="00AF73B6">
      <w:r>
        <w:continuationSeparator/>
      </w:r>
    </w:p>
  </w:footnote>
  <w:footnote w:type="continuationNotice" w:id="1">
    <w:p w:rsidR="00AF73B6" w:rsidRDefault="00AF73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60B8"/>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2245"/>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CF2"/>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5746"/>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1FBB"/>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15F"/>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AF73B6"/>
    <w:rsid w:val="00B018D4"/>
    <w:rsid w:val="00B0510A"/>
    <w:rsid w:val="00B05CD9"/>
    <w:rsid w:val="00B076B3"/>
    <w:rsid w:val="00B13165"/>
    <w:rsid w:val="00B21EFB"/>
    <w:rsid w:val="00B22C53"/>
    <w:rsid w:val="00B32713"/>
    <w:rsid w:val="00B34DF3"/>
    <w:rsid w:val="00B351DB"/>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06CD4"/>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31F"/>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63C31138-8BC9-418D-A956-08BF77E9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6</cp:revision>
  <cp:lastPrinted>2012-12-07T17:42:00Z</cp:lastPrinted>
  <dcterms:created xsi:type="dcterms:W3CDTF">2015-05-18T20:42:00Z</dcterms:created>
  <dcterms:modified xsi:type="dcterms:W3CDTF">2015-05-21T21:34:00Z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