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D30066">
        <w:fldChar w:fldCharType="begin"/>
      </w:r>
      <w:r w:rsidR="00D30066">
        <w:instrText xml:space="preserve"> TITLE  \* MERGEFORMAT </w:instrText>
      </w:r>
      <w:r w:rsidR="00D30066">
        <w:fldChar w:fldCharType="separate"/>
      </w:r>
      <w:r w:rsidR="00A910C9" w:rsidRPr="005A5FF9">
        <w:rPr>
          <w:kern w:val="0"/>
        </w:rPr>
        <w:t>Design Specification</w:t>
      </w:r>
      <w:r w:rsidR="00D30066">
        <w:rPr>
          <w:kern w:val="0"/>
        </w:rPr>
        <w:fldChar w:fldCharType="end"/>
      </w:r>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4EF09F03" w:rsidR="009801F1" w:rsidRDefault="009801F1" w:rsidP="009801F1">
            <w:pPr>
              <w:pStyle w:val="TableText"/>
              <w:jc w:val="both"/>
            </w:pPr>
          </w:p>
        </w:tc>
        <w:tc>
          <w:tcPr>
            <w:tcW w:w="990" w:type="dxa"/>
          </w:tcPr>
          <w:p w14:paraId="3CA00743" w14:textId="6A516084" w:rsidR="009801F1" w:rsidRDefault="009801F1" w:rsidP="009801F1">
            <w:pPr>
              <w:pStyle w:val="TableText"/>
              <w:jc w:val="both"/>
            </w:pPr>
          </w:p>
        </w:tc>
        <w:tc>
          <w:tcPr>
            <w:tcW w:w="4950" w:type="dxa"/>
          </w:tcPr>
          <w:p w14:paraId="3CA00744" w14:textId="7C83E0BB" w:rsidR="009801F1" w:rsidRDefault="009801F1" w:rsidP="009801F1">
            <w:pPr>
              <w:pStyle w:val="TableText"/>
            </w:pPr>
          </w:p>
        </w:tc>
        <w:tc>
          <w:tcPr>
            <w:tcW w:w="1646" w:type="dxa"/>
          </w:tcPr>
          <w:p w14:paraId="3CA00745" w14:textId="01B449E7" w:rsidR="009801F1" w:rsidRDefault="009801F1" w:rsidP="009801F1">
            <w:pPr>
              <w:pStyle w:val="TableText"/>
              <w:jc w:val="both"/>
            </w:pP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bookmarkStart w:id="0" w:name="_GoBack"/>
      <w:bookmarkEnd w:id="0"/>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4E8FA89F" w14:textId="77777777" w:rsidR="002B2D37"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B2D37">
        <w:rPr>
          <w:noProof/>
        </w:rPr>
        <w:t>1</w:t>
      </w:r>
      <w:r w:rsidR="002B2D37">
        <w:rPr>
          <w:rFonts w:asciiTheme="minorHAnsi" w:eastAsiaTheme="minorEastAsia" w:hAnsiTheme="minorHAnsi" w:cstheme="minorBidi"/>
          <w:b w:val="0"/>
          <w:caps w:val="0"/>
          <w:noProof/>
          <w:sz w:val="22"/>
          <w:szCs w:val="22"/>
        </w:rPr>
        <w:tab/>
      </w:r>
      <w:r w:rsidR="002B2D37">
        <w:rPr>
          <w:noProof/>
        </w:rPr>
        <w:t>Business Requirements</w:t>
      </w:r>
      <w:r w:rsidR="002B2D37">
        <w:rPr>
          <w:noProof/>
        </w:rPr>
        <w:tab/>
      </w:r>
      <w:r w:rsidR="002B2D37">
        <w:rPr>
          <w:noProof/>
        </w:rPr>
        <w:fldChar w:fldCharType="begin"/>
      </w:r>
      <w:r w:rsidR="002B2D37">
        <w:rPr>
          <w:noProof/>
        </w:rPr>
        <w:instrText xml:space="preserve"> PAGEREF _Toc402689142 \h </w:instrText>
      </w:r>
      <w:r w:rsidR="002B2D37">
        <w:rPr>
          <w:noProof/>
        </w:rPr>
      </w:r>
      <w:r w:rsidR="002B2D37">
        <w:rPr>
          <w:noProof/>
        </w:rPr>
        <w:fldChar w:fldCharType="separate"/>
      </w:r>
      <w:r w:rsidR="002B2D37">
        <w:rPr>
          <w:noProof/>
        </w:rPr>
        <w:t>4</w:t>
      </w:r>
      <w:r w:rsidR="002B2D37">
        <w:rPr>
          <w:noProof/>
        </w:rPr>
        <w:fldChar w:fldCharType="end"/>
      </w:r>
    </w:p>
    <w:p w14:paraId="7844BA3E"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_Toc402689143 \h </w:instrText>
      </w:r>
      <w:r>
        <w:rPr>
          <w:noProof/>
        </w:rPr>
      </w:r>
      <w:r>
        <w:rPr>
          <w:noProof/>
        </w:rPr>
        <w:fldChar w:fldCharType="separate"/>
      </w:r>
      <w:r>
        <w:rPr>
          <w:noProof/>
        </w:rPr>
        <w:t>4</w:t>
      </w:r>
      <w:r>
        <w:rPr>
          <w:noProof/>
        </w:rPr>
        <w:fldChar w:fldCharType="end"/>
      </w:r>
    </w:p>
    <w:p w14:paraId="7FA9DE98"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_Toc402689144 \h </w:instrText>
      </w:r>
      <w:r>
        <w:rPr>
          <w:noProof/>
        </w:rPr>
      </w:r>
      <w:r>
        <w:rPr>
          <w:noProof/>
        </w:rPr>
        <w:fldChar w:fldCharType="separate"/>
      </w:r>
      <w:r>
        <w:rPr>
          <w:noProof/>
        </w:rPr>
        <w:t>4</w:t>
      </w:r>
      <w:r>
        <w:rPr>
          <w:noProof/>
        </w:rPr>
        <w:fldChar w:fldCharType="end"/>
      </w:r>
    </w:p>
    <w:p w14:paraId="32CD7A03"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_Toc402689145 \h </w:instrText>
      </w:r>
      <w:r>
        <w:rPr>
          <w:noProof/>
        </w:rPr>
      </w:r>
      <w:r>
        <w:rPr>
          <w:noProof/>
        </w:rPr>
        <w:fldChar w:fldCharType="separate"/>
      </w:r>
      <w:r>
        <w:rPr>
          <w:noProof/>
        </w:rPr>
        <w:t>6</w:t>
      </w:r>
      <w:r>
        <w:rPr>
          <w:noProof/>
        </w:rPr>
        <w:fldChar w:fldCharType="end"/>
      </w:r>
    </w:p>
    <w:p w14:paraId="0FCE8442"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_Toc402689146 \h </w:instrText>
      </w:r>
      <w:r>
        <w:rPr>
          <w:noProof/>
        </w:rPr>
      </w:r>
      <w:r>
        <w:rPr>
          <w:noProof/>
        </w:rPr>
        <w:fldChar w:fldCharType="separate"/>
      </w:r>
      <w:r>
        <w:rPr>
          <w:noProof/>
        </w:rPr>
        <w:t>7</w:t>
      </w:r>
      <w:r>
        <w:rPr>
          <w:noProof/>
        </w:rPr>
        <w:fldChar w:fldCharType="end"/>
      </w:r>
    </w:p>
    <w:p w14:paraId="00B4902D"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_Toc402689147 \h </w:instrText>
      </w:r>
      <w:r>
        <w:rPr>
          <w:noProof/>
        </w:rPr>
      </w:r>
      <w:r>
        <w:rPr>
          <w:noProof/>
        </w:rPr>
        <w:fldChar w:fldCharType="separate"/>
      </w:r>
      <w:r>
        <w:rPr>
          <w:noProof/>
        </w:rPr>
        <w:t>8</w:t>
      </w:r>
      <w:r>
        <w:rPr>
          <w:noProof/>
        </w:rPr>
        <w:fldChar w:fldCharType="end"/>
      </w:r>
    </w:p>
    <w:p w14:paraId="2A0BCAAB"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_Toc402689148 \h </w:instrText>
      </w:r>
      <w:r>
        <w:rPr>
          <w:noProof/>
        </w:rPr>
      </w:r>
      <w:r>
        <w:rPr>
          <w:noProof/>
        </w:rPr>
        <w:fldChar w:fldCharType="separate"/>
      </w:r>
      <w:r>
        <w:rPr>
          <w:noProof/>
        </w:rPr>
        <w:t>8</w:t>
      </w:r>
      <w:r>
        <w:rPr>
          <w:noProof/>
        </w:rPr>
        <w:fldChar w:fldCharType="end"/>
      </w:r>
    </w:p>
    <w:p w14:paraId="216ABE1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_Toc402689149 \h </w:instrText>
      </w:r>
      <w:r>
        <w:rPr>
          <w:noProof/>
        </w:rPr>
      </w:r>
      <w:r>
        <w:rPr>
          <w:noProof/>
        </w:rPr>
        <w:fldChar w:fldCharType="separate"/>
      </w:r>
      <w:r>
        <w:rPr>
          <w:noProof/>
        </w:rPr>
        <w:t>8</w:t>
      </w:r>
      <w:r>
        <w:rPr>
          <w:noProof/>
        </w:rPr>
        <w:fldChar w:fldCharType="end"/>
      </w:r>
    </w:p>
    <w:p w14:paraId="170A5D2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_Toc402689150 \h </w:instrText>
      </w:r>
      <w:r>
        <w:rPr>
          <w:noProof/>
        </w:rPr>
      </w:r>
      <w:r>
        <w:rPr>
          <w:noProof/>
        </w:rPr>
        <w:fldChar w:fldCharType="separate"/>
      </w:r>
      <w:r>
        <w:rPr>
          <w:noProof/>
        </w:rPr>
        <w:t>8</w:t>
      </w:r>
      <w:r>
        <w:rPr>
          <w:noProof/>
        </w:rPr>
        <w:fldChar w:fldCharType="end"/>
      </w:r>
    </w:p>
    <w:p w14:paraId="03A410CD"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_Toc402689151 \h </w:instrText>
      </w:r>
      <w:r>
        <w:rPr>
          <w:noProof/>
        </w:rPr>
      </w:r>
      <w:r>
        <w:rPr>
          <w:noProof/>
        </w:rPr>
        <w:fldChar w:fldCharType="separate"/>
      </w:r>
      <w:r>
        <w:rPr>
          <w:noProof/>
        </w:rPr>
        <w:t>8</w:t>
      </w:r>
      <w:r>
        <w:rPr>
          <w:noProof/>
        </w:rPr>
        <w:fldChar w:fldCharType="end"/>
      </w:r>
    </w:p>
    <w:p w14:paraId="482534B8"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_Toc402689152 \h </w:instrText>
      </w:r>
      <w:r>
        <w:rPr>
          <w:noProof/>
        </w:rPr>
      </w:r>
      <w:r>
        <w:rPr>
          <w:noProof/>
        </w:rPr>
        <w:fldChar w:fldCharType="separate"/>
      </w:r>
      <w:r>
        <w:rPr>
          <w:noProof/>
        </w:rPr>
        <w:t>8</w:t>
      </w:r>
      <w:r>
        <w:rPr>
          <w:noProof/>
        </w:rPr>
        <w:fldChar w:fldCharType="end"/>
      </w:r>
    </w:p>
    <w:p w14:paraId="5664476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_Toc402689153 \h </w:instrText>
      </w:r>
      <w:r>
        <w:rPr>
          <w:noProof/>
        </w:rPr>
      </w:r>
      <w:r>
        <w:rPr>
          <w:noProof/>
        </w:rPr>
        <w:fldChar w:fldCharType="separate"/>
      </w:r>
      <w:r>
        <w:rPr>
          <w:noProof/>
        </w:rPr>
        <w:t>9</w:t>
      </w:r>
      <w:r>
        <w:rPr>
          <w:noProof/>
        </w:rPr>
        <w:fldChar w:fldCharType="end"/>
      </w:r>
    </w:p>
    <w:p w14:paraId="60151B2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_Toc402689154 \h </w:instrText>
      </w:r>
      <w:r>
        <w:rPr>
          <w:noProof/>
        </w:rPr>
      </w:r>
      <w:r>
        <w:rPr>
          <w:noProof/>
        </w:rPr>
        <w:fldChar w:fldCharType="separate"/>
      </w:r>
      <w:r>
        <w:rPr>
          <w:noProof/>
        </w:rPr>
        <w:t>10</w:t>
      </w:r>
      <w:r>
        <w:rPr>
          <w:noProof/>
        </w:rPr>
        <w:fldChar w:fldCharType="end"/>
      </w:r>
    </w:p>
    <w:p w14:paraId="24C093D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_Toc402689155 \h </w:instrText>
      </w:r>
      <w:r>
        <w:rPr>
          <w:noProof/>
        </w:rPr>
      </w:r>
      <w:r>
        <w:rPr>
          <w:noProof/>
        </w:rPr>
        <w:fldChar w:fldCharType="separate"/>
      </w:r>
      <w:r>
        <w:rPr>
          <w:noProof/>
        </w:rPr>
        <w:t>10</w:t>
      </w:r>
      <w:r>
        <w:rPr>
          <w:noProof/>
        </w:rPr>
        <w:fldChar w:fldCharType="end"/>
      </w:r>
    </w:p>
    <w:p w14:paraId="0AF4A10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_Toc402689156 \h </w:instrText>
      </w:r>
      <w:r>
        <w:rPr>
          <w:noProof/>
        </w:rPr>
      </w:r>
      <w:r>
        <w:rPr>
          <w:noProof/>
        </w:rPr>
        <w:fldChar w:fldCharType="separate"/>
      </w:r>
      <w:r>
        <w:rPr>
          <w:noProof/>
        </w:rPr>
        <w:t>10</w:t>
      </w:r>
      <w:r>
        <w:rPr>
          <w:noProof/>
        </w:rPr>
        <w:fldChar w:fldCharType="end"/>
      </w:r>
    </w:p>
    <w:p w14:paraId="65D2886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_Toc402689157 \h </w:instrText>
      </w:r>
      <w:r>
        <w:rPr>
          <w:noProof/>
        </w:rPr>
      </w:r>
      <w:r>
        <w:rPr>
          <w:noProof/>
        </w:rPr>
        <w:fldChar w:fldCharType="separate"/>
      </w:r>
      <w:r>
        <w:rPr>
          <w:noProof/>
        </w:rPr>
        <w:t>10</w:t>
      </w:r>
      <w:r>
        <w:rPr>
          <w:noProof/>
        </w:rPr>
        <w:fldChar w:fldCharType="end"/>
      </w:r>
    </w:p>
    <w:p w14:paraId="58C7786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_Toc402689158 \h </w:instrText>
      </w:r>
      <w:r>
        <w:rPr>
          <w:noProof/>
        </w:rPr>
      </w:r>
      <w:r>
        <w:rPr>
          <w:noProof/>
        </w:rPr>
        <w:fldChar w:fldCharType="separate"/>
      </w:r>
      <w:r>
        <w:rPr>
          <w:noProof/>
        </w:rPr>
        <w:t>10</w:t>
      </w:r>
      <w:r>
        <w:rPr>
          <w:noProof/>
        </w:rPr>
        <w:fldChar w:fldCharType="end"/>
      </w:r>
    </w:p>
    <w:p w14:paraId="776244C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_Toc402689159 \h </w:instrText>
      </w:r>
      <w:r>
        <w:rPr>
          <w:noProof/>
        </w:rPr>
      </w:r>
      <w:r>
        <w:rPr>
          <w:noProof/>
        </w:rPr>
        <w:fldChar w:fldCharType="separate"/>
      </w:r>
      <w:r>
        <w:rPr>
          <w:noProof/>
        </w:rPr>
        <w:t>11</w:t>
      </w:r>
      <w:r>
        <w:rPr>
          <w:noProof/>
        </w:rPr>
        <w:fldChar w:fldCharType="end"/>
      </w:r>
    </w:p>
    <w:p w14:paraId="0FF680AF"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_Toc402689160 \h </w:instrText>
      </w:r>
      <w:r>
        <w:rPr>
          <w:noProof/>
        </w:rPr>
      </w:r>
      <w:r>
        <w:rPr>
          <w:noProof/>
        </w:rPr>
        <w:fldChar w:fldCharType="separate"/>
      </w:r>
      <w:r>
        <w:rPr>
          <w:noProof/>
        </w:rPr>
        <w:t>11</w:t>
      </w:r>
      <w:r>
        <w:rPr>
          <w:noProof/>
        </w:rPr>
        <w:fldChar w:fldCharType="end"/>
      </w:r>
    </w:p>
    <w:p w14:paraId="7EB3782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6.2</w:t>
      </w:r>
      <w:r>
        <w:rPr>
          <w:rFonts w:asciiTheme="minorHAnsi" w:eastAsiaTheme="minorEastAsia" w:hAnsiTheme="minorHAnsi" w:cstheme="minorBidi"/>
          <w:smallCaps w:val="0"/>
          <w:noProof/>
          <w:sz w:val="22"/>
          <w:szCs w:val="22"/>
        </w:rPr>
        <w:tab/>
      </w:r>
      <w:r w:rsidRPr="00C23FA8">
        <w:rPr>
          <w:bCs/>
          <w:iCs/>
          <w:noProof/>
        </w:rPr>
        <w:t>Policies and Procedures</w:t>
      </w:r>
      <w:r>
        <w:rPr>
          <w:noProof/>
        </w:rPr>
        <w:tab/>
      </w:r>
      <w:r>
        <w:rPr>
          <w:noProof/>
        </w:rPr>
        <w:fldChar w:fldCharType="begin"/>
      </w:r>
      <w:r>
        <w:rPr>
          <w:noProof/>
        </w:rPr>
        <w:instrText xml:space="preserve"> PAGEREF _Toc402689161 \h </w:instrText>
      </w:r>
      <w:r>
        <w:rPr>
          <w:noProof/>
        </w:rPr>
      </w:r>
      <w:r>
        <w:rPr>
          <w:noProof/>
        </w:rPr>
        <w:fldChar w:fldCharType="separate"/>
      </w:r>
      <w:r>
        <w:rPr>
          <w:noProof/>
        </w:rPr>
        <w:t>11</w:t>
      </w:r>
      <w:r>
        <w:rPr>
          <w:noProof/>
        </w:rPr>
        <w:fldChar w:fldCharType="end"/>
      </w:r>
    </w:p>
    <w:p w14:paraId="4614CA4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6.3</w:t>
      </w:r>
      <w:r>
        <w:rPr>
          <w:rFonts w:asciiTheme="minorHAnsi" w:eastAsiaTheme="minorEastAsia" w:hAnsiTheme="minorHAnsi" w:cstheme="minorBidi"/>
          <w:smallCaps w:val="0"/>
          <w:noProof/>
          <w:sz w:val="22"/>
          <w:szCs w:val="22"/>
        </w:rPr>
        <w:tab/>
      </w:r>
      <w:r w:rsidRPr="00C23FA8">
        <w:rPr>
          <w:bCs/>
          <w:iCs/>
          <w:noProof/>
        </w:rPr>
        <w:t>Security Design</w:t>
      </w:r>
      <w:r>
        <w:rPr>
          <w:noProof/>
        </w:rPr>
        <w:tab/>
      </w:r>
      <w:r>
        <w:rPr>
          <w:noProof/>
        </w:rPr>
        <w:fldChar w:fldCharType="begin"/>
      </w:r>
      <w:r>
        <w:rPr>
          <w:noProof/>
        </w:rPr>
        <w:instrText xml:space="preserve"> PAGEREF _Toc402689162 \h </w:instrText>
      </w:r>
      <w:r>
        <w:rPr>
          <w:noProof/>
        </w:rPr>
      </w:r>
      <w:r>
        <w:rPr>
          <w:noProof/>
        </w:rPr>
        <w:fldChar w:fldCharType="separate"/>
      </w:r>
      <w:r>
        <w:rPr>
          <w:noProof/>
        </w:rPr>
        <w:t>11</w:t>
      </w:r>
      <w:r>
        <w:rPr>
          <w:noProof/>
        </w:rPr>
        <w:fldChar w:fldCharType="end"/>
      </w:r>
    </w:p>
    <w:p w14:paraId="269FFD0D"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_Toc402689163 \h </w:instrText>
      </w:r>
      <w:r>
        <w:rPr>
          <w:noProof/>
        </w:rPr>
      </w:r>
      <w:r>
        <w:rPr>
          <w:noProof/>
        </w:rPr>
        <w:fldChar w:fldCharType="separate"/>
      </w:r>
      <w:r>
        <w:rPr>
          <w:noProof/>
        </w:rPr>
        <w:t>11</w:t>
      </w:r>
      <w:r>
        <w:rPr>
          <w:noProof/>
        </w:rPr>
        <w:fldChar w:fldCharType="end"/>
      </w:r>
    </w:p>
    <w:p w14:paraId="62BBA29A"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_Toc402689164 \h </w:instrText>
      </w:r>
      <w:r>
        <w:rPr>
          <w:noProof/>
        </w:rPr>
      </w:r>
      <w:r>
        <w:rPr>
          <w:noProof/>
        </w:rPr>
        <w:fldChar w:fldCharType="separate"/>
      </w:r>
      <w:r>
        <w:rPr>
          <w:noProof/>
        </w:rPr>
        <w:t>11</w:t>
      </w:r>
      <w:r>
        <w:rPr>
          <w:noProof/>
        </w:rPr>
        <w:fldChar w:fldCharType="end"/>
      </w:r>
    </w:p>
    <w:p w14:paraId="5359E7B4"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_Toc402689165 \h </w:instrText>
      </w:r>
      <w:r>
        <w:rPr>
          <w:noProof/>
        </w:rPr>
      </w:r>
      <w:r>
        <w:rPr>
          <w:noProof/>
        </w:rPr>
        <w:fldChar w:fldCharType="separate"/>
      </w:r>
      <w:r>
        <w:rPr>
          <w:noProof/>
        </w:rPr>
        <w:t>11</w:t>
      </w:r>
      <w:r>
        <w:rPr>
          <w:noProof/>
        </w:rPr>
        <w:fldChar w:fldCharType="end"/>
      </w:r>
    </w:p>
    <w:p w14:paraId="3B1AC49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_Toc402689166 \h </w:instrText>
      </w:r>
      <w:r>
        <w:rPr>
          <w:noProof/>
        </w:rPr>
      </w:r>
      <w:r>
        <w:rPr>
          <w:noProof/>
        </w:rPr>
        <w:fldChar w:fldCharType="separate"/>
      </w:r>
      <w:r>
        <w:rPr>
          <w:noProof/>
        </w:rPr>
        <w:t>11</w:t>
      </w:r>
      <w:r>
        <w:rPr>
          <w:noProof/>
        </w:rPr>
        <w:fldChar w:fldCharType="end"/>
      </w:r>
    </w:p>
    <w:p w14:paraId="0CF5041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_Toc402689167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br w:type="page"/>
      </w:r>
    </w:p>
    <w:p w14:paraId="3CA00795" w14:textId="4CBEBEDB" w:rsidR="00A910C9" w:rsidRDefault="00EB7776" w:rsidP="00A910C9">
      <w:pPr>
        <w:pStyle w:val="Heading1"/>
        <w:keepLines/>
        <w:jc w:val="both"/>
      </w:pPr>
      <w:bookmarkStart w:id="7" w:name="_Toc402689142"/>
      <w:bookmarkEnd w:id="1"/>
      <w:bookmarkEnd w:id="2"/>
      <w:bookmarkEnd w:id="3"/>
      <w:bookmarkEnd w:id="4"/>
      <w:bookmarkEnd w:id="5"/>
      <w:bookmarkEnd w:id="6"/>
      <w:r>
        <w:lastRenderedPageBreak/>
        <w:t>Business Requirements</w:t>
      </w:r>
      <w:bookmarkEnd w:id="7"/>
    </w:p>
    <w:p w14:paraId="3CA00796" w14:textId="77777777" w:rsidR="00A910C9" w:rsidRDefault="00A910C9" w:rsidP="00A910C9">
      <w:pPr>
        <w:pStyle w:val="Heading2"/>
        <w:jc w:val="both"/>
      </w:pPr>
      <w:bookmarkStart w:id="8" w:name="_Toc342757859"/>
      <w:bookmarkStart w:id="9" w:name="_Toc346297767"/>
      <w:bookmarkStart w:id="10" w:name="_Toc404134497"/>
      <w:bookmarkStart w:id="11" w:name="_Toc402689143"/>
      <w:r>
        <w:t xml:space="preserve">Purpose of the </w:t>
      </w:r>
      <w:bookmarkEnd w:id="8"/>
      <w:bookmarkEnd w:id="9"/>
      <w:bookmarkEnd w:id="10"/>
      <w:r>
        <w:t>Design Specification</w:t>
      </w:r>
      <w:bookmarkEnd w:id="11"/>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2" w:name="_Toc402689144"/>
      <w:bookmarkStart w:id="13" w:name="_Toc342757861"/>
      <w:bookmarkStart w:id="14" w:name="_Toc346297769"/>
      <w:bookmarkStart w:id="15" w:name="_Toc404134499"/>
      <w:r w:rsidRPr="00F93315">
        <w:t>Business Functional Requirements</w:t>
      </w:r>
      <w:r w:rsidR="00F040D7">
        <w:t xml:space="preserve"> / Configuration</w:t>
      </w:r>
      <w:bookmarkEnd w:id="12"/>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227ED3D4" w:rsidR="00D05269" w:rsidRDefault="002915BD" w:rsidP="00CC61D5">
            <w:pPr>
              <w:pStyle w:val="ListParagraph"/>
              <w:numPr>
                <w:ilvl w:val="1"/>
                <w:numId w:val="26"/>
              </w:numPr>
            </w:pPr>
            <w:r>
              <w:t xml:space="preserve">Delivery - </w:t>
            </w:r>
            <w:r w:rsidR="00D05269">
              <w:t>One-Time (new)</w:t>
            </w:r>
          </w:p>
          <w:p w14:paraId="0E775FAF" w14:textId="223BC1B9" w:rsidR="00D05269" w:rsidRDefault="002915BD" w:rsidP="00CC61D5">
            <w:pPr>
              <w:pStyle w:val="ListParagraph"/>
              <w:numPr>
                <w:ilvl w:val="1"/>
                <w:numId w:val="26"/>
              </w:numPr>
            </w:pPr>
            <w:r>
              <w:t xml:space="preserve">Installation - </w:t>
            </w:r>
            <w:r w:rsidR="00D05269">
              <w:t>One-Time,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6" w:name="_Toc342757862"/>
      <w:bookmarkStart w:id="17" w:name="_Toc346297770"/>
      <w:bookmarkStart w:id="18" w:name="_Toc404134500"/>
      <w:bookmarkEnd w:id="13"/>
      <w:bookmarkEnd w:id="14"/>
      <w:bookmarkEnd w:id="15"/>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9" w:name="_Toc402689145"/>
      <w:r>
        <w:t>Technical Design</w:t>
      </w:r>
      <w:r w:rsidRPr="00F93315">
        <w:t xml:space="preserve"> Requirements</w:t>
      </w:r>
      <w:bookmarkEnd w:id="19"/>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3093"/>
        <w:gridCol w:w="6053"/>
      </w:tblGrid>
      <w:tr w:rsidR="00CA2B01" w:rsidRPr="00A16533" w14:paraId="3CE95FAF" w14:textId="77777777" w:rsidTr="00E0544D">
        <w:trPr>
          <w:cantSplit/>
          <w:tblHeader/>
        </w:trPr>
        <w:tc>
          <w:tcPr>
            <w:tcW w:w="30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05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053"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E2CBA0B" w:rsidR="00FA2A69" w:rsidRPr="00FA2A69" w:rsidRDefault="00296848" w:rsidP="00FA2A69">
            <w:r>
              <w:t xml:space="preserve">  </w:t>
            </w:r>
            <w:r w:rsidR="00FA2A69" w:rsidRPr="00FA2A69">
              <w:t xml:space="preserve">Delivery - </w:t>
            </w:r>
            <w:r w:rsidR="00602096">
              <w:t>One-Time</w:t>
            </w:r>
          </w:p>
          <w:p w14:paraId="6C1A3789" w14:textId="644A7981" w:rsidR="00FA2A69" w:rsidRPr="00FA2A69" w:rsidRDefault="00296848" w:rsidP="00FA2A69">
            <w:r>
              <w:t xml:space="preserve">  </w:t>
            </w:r>
            <w:r w:rsidR="00FA2A69" w:rsidRPr="00FA2A69">
              <w:t>Installation - O</w:t>
            </w:r>
            <w:r w:rsidR="00602096">
              <w:t>ne-Time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F10C82">
        <w:trPr>
          <w:cantSplit/>
          <w:trHeight w:val="584"/>
        </w:trPr>
        <w:tc>
          <w:tcPr>
            <w:tcW w:w="3093"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053"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053"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167DB524" w:rsidR="00E0092F" w:rsidRPr="00425538" w:rsidRDefault="00425538" w:rsidP="00425538">
            <w:r w:rsidRPr="00E0092F">
              <w:t>Pricing Changes</w:t>
            </w:r>
          </w:p>
        </w:tc>
        <w:tc>
          <w:tcPr>
            <w:tcW w:w="6053"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56BC98B2" w14:textId="0088263D" w:rsidR="002B2D37" w:rsidRPr="00F51556" w:rsidRDefault="00F51556" w:rsidP="002B2D37">
            <w:pPr>
              <w:rPr>
                <w:b/>
              </w:rPr>
            </w:pPr>
            <w:r w:rsidRPr="00F51556">
              <w:rPr>
                <w:b/>
              </w:rPr>
              <w:t>Base (monthly)</w:t>
            </w:r>
          </w:p>
          <w:p w14:paraId="42A1228B" w14:textId="77777777" w:rsidR="004C6C27" w:rsidRDefault="004C6C27" w:rsidP="002B2D37">
            <w:r>
              <w:t xml:space="preserve">    Cost = </w:t>
            </w:r>
          </w:p>
          <w:p w14:paraId="17FEBCFD" w14:textId="77777777" w:rsidR="004C6C27" w:rsidRDefault="004C6C27" w:rsidP="002B2D37">
            <w:r>
              <w:t xml:space="preserve">    Floor = </w:t>
            </w:r>
          </w:p>
          <w:p w14:paraId="2F37E2FF" w14:textId="77777777" w:rsidR="004C6C27" w:rsidRDefault="004C6C27" w:rsidP="002B2D37">
            <w:r>
              <w:t xml:space="preserve">    Average = </w:t>
            </w:r>
          </w:p>
          <w:p w14:paraId="005103D4" w14:textId="6056E188" w:rsidR="004C6C27" w:rsidRDefault="004C6C27" w:rsidP="002B2D37">
            <w:r>
              <w:t xml:space="preserve">    Target = </w:t>
            </w:r>
          </w:p>
          <w:p w14:paraId="6AF13592" w14:textId="77777777" w:rsidR="004C6C27" w:rsidRDefault="004C6C27" w:rsidP="002B2D37"/>
          <w:p w14:paraId="09EE134F" w14:textId="022F9707" w:rsidR="002B2D37" w:rsidRPr="00F51556" w:rsidRDefault="002B2D37" w:rsidP="002B2D37">
            <w:pPr>
              <w:rPr>
                <w:b/>
              </w:rPr>
            </w:pPr>
            <w:r w:rsidRPr="00F51556">
              <w:rPr>
                <w:b/>
              </w:rPr>
              <w:t>Rental (monthly)</w:t>
            </w:r>
          </w:p>
          <w:p w14:paraId="0D677D2B" w14:textId="68545A87" w:rsidR="002B2D37" w:rsidRDefault="002B2D37" w:rsidP="002B2D37">
            <w:r>
              <w:t xml:space="preserve">    Cost = Asset Value (user entered) * 1.065 / 12</w:t>
            </w:r>
          </w:p>
          <w:p w14:paraId="56398854" w14:textId="0F3D5264" w:rsidR="002B2D37" w:rsidRDefault="002B2D37" w:rsidP="002B2D37">
            <w:r>
              <w:t xml:space="preserve">    Floor = </w:t>
            </w:r>
            <w:r w:rsidR="004C6C27">
              <w:t xml:space="preserve">Revised </w:t>
            </w:r>
            <w:r>
              <w:t>Asset Value * (1 + floor return) / 12</w:t>
            </w:r>
          </w:p>
          <w:p w14:paraId="782FD0B5" w14:textId="3E8E8079" w:rsidR="002B2D37" w:rsidRDefault="002B2D37" w:rsidP="002B2D37">
            <w:r>
              <w:t xml:space="preserve">    Average = </w:t>
            </w:r>
            <w:r w:rsidR="004C6C27">
              <w:t xml:space="preserve">Revised </w:t>
            </w:r>
            <w:r>
              <w:t>Asset Value * (1 + average return) / 12</w:t>
            </w:r>
          </w:p>
          <w:p w14:paraId="5D66B9EC" w14:textId="4212DA7A" w:rsidR="002B2D37" w:rsidRDefault="002B2D37" w:rsidP="002B2D37">
            <w:r>
              <w:t xml:space="preserve">    Target = </w:t>
            </w:r>
            <w:r w:rsidR="00F51556">
              <w:t xml:space="preserve">Revised </w:t>
            </w:r>
            <w:r>
              <w:t>Asset Value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51E21BB7" w14:textId="297C6963" w:rsidR="002B2D37" w:rsidRDefault="002B2D37" w:rsidP="00CC61D5">
            <w:r>
              <w:t xml:space="preserve">    Cost = </w:t>
            </w:r>
            <w:r w:rsidR="00277E00">
              <w:t>0.00</w:t>
            </w:r>
          </w:p>
          <w:p w14:paraId="4F86889E" w14:textId="77777777" w:rsidR="002B2D37" w:rsidRDefault="002B2D37" w:rsidP="00CC61D5">
            <w:r>
              <w:t xml:space="preserve">    Floor = </w:t>
            </w:r>
          </w:p>
          <w:p w14:paraId="1EEC4325" w14:textId="77777777" w:rsidR="002B2D37" w:rsidRDefault="002B2D37" w:rsidP="00CC61D5">
            <w:r>
              <w:t xml:space="preserve">    Average = </w:t>
            </w:r>
          </w:p>
          <w:p w14:paraId="48BD4C43" w14:textId="77777777" w:rsidR="002B2D37" w:rsidRDefault="002B2D37" w:rsidP="00CC61D5">
            <w:r>
              <w:t xml:space="preserve">    Target = </w:t>
            </w:r>
          </w:p>
          <w:p w14:paraId="033A33A9" w14:textId="59831874" w:rsidR="00C5772A" w:rsidRPr="00CC61D5" w:rsidRDefault="00C5772A" w:rsidP="00CC61D5"/>
        </w:tc>
      </w:tr>
      <w:tr w:rsidR="00C5772A" w:rsidRPr="004D04DC" w14:paraId="5DA5DCDF"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t>Existing Containers</w:t>
            </w:r>
          </w:p>
        </w:tc>
        <w:tc>
          <w:tcPr>
            <w:tcW w:w="6053" w:type="dxa"/>
            <w:tcBorders>
              <w:top w:val="single" w:sz="4" w:space="0" w:color="auto"/>
              <w:left w:val="single" w:sz="4" w:space="0" w:color="auto"/>
              <w:bottom w:val="single" w:sz="4" w:space="0" w:color="auto"/>
              <w:right w:val="single" w:sz="4" w:space="0" w:color="auto"/>
            </w:tcBorders>
          </w:tcPr>
          <w:p w14:paraId="4572BC12" w14:textId="563BEC8A" w:rsidR="00C5772A" w:rsidRPr="00C11917" w:rsidRDefault="00C11917" w:rsidP="00CC61D5">
            <w:r>
              <w:t>Compactor asset values are unknown for existing customers, so default to parts table asset values.</w:t>
            </w:r>
          </w:p>
        </w:tc>
      </w:tr>
      <w:tr w:rsidR="002A6733" w:rsidRPr="004D04DC" w14:paraId="00B92D7E"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053"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053"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02689146"/>
      <w:r>
        <w:lastRenderedPageBreak/>
        <w:t>Assumptions</w:t>
      </w:r>
      <w:bookmarkEnd w:id="20"/>
      <w:bookmarkEnd w:id="21"/>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02689147"/>
      <w:r>
        <w:lastRenderedPageBreak/>
        <w:t>Technical Design</w:t>
      </w:r>
      <w:bookmarkEnd w:id="22"/>
    </w:p>
    <w:p w14:paraId="3CA00804" w14:textId="77777777" w:rsidR="00A159AB" w:rsidRDefault="00A159AB" w:rsidP="00A159AB">
      <w:pPr>
        <w:pStyle w:val="Heading2"/>
        <w:jc w:val="both"/>
      </w:pPr>
      <w:bookmarkStart w:id="23" w:name="_Toc402689148"/>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02689149"/>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3A53"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4837"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9F"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622425"/>
                    </a:xfrm>
                    <a:prstGeom prst="rect">
                      <a:avLst/>
                    </a:prstGeom>
                  </pic:spPr>
                </pic:pic>
              </a:graphicData>
            </a:graphic>
          </wp:inline>
        </w:drawing>
      </w:r>
    </w:p>
    <w:p w14:paraId="28A0DE5A" w14:textId="77777777" w:rsidR="007F2153" w:rsidRDefault="007F2153" w:rsidP="00EC63CB">
      <w:pPr>
        <w:pStyle w:val="BodyText"/>
        <w:ind w:left="576"/>
      </w:pPr>
    </w:p>
    <w:p w14:paraId="6455F030" w14:textId="196C6FEC" w:rsidR="00F11618" w:rsidRDefault="00A159AB" w:rsidP="00F11618">
      <w:pPr>
        <w:pStyle w:val="Heading2"/>
        <w:jc w:val="both"/>
      </w:pPr>
      <w:bookmarkStart w:id="25" w:name="_Toc402689150"/>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02689151"/>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4"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02689152"/>
      <w:proofErr w:type="spellStart"/>
      <w:r>
        <w:t>InfoPro</w:t>
      </w:r>
      <w:proofErr w:type="spellEnd"/>
      <w:r>
        <w:t xml:space="preserve"> </w:t>
      </w:r>
      <w:r w:rsidR="00A910C9">
        <w:t>Interface</w:t>
      </w:r>
      <w:bookmarkEnd w:id="27"/>
    </w:p>
    <w:p w14:paraId="071CB1A0" w14:textId="4C62ABC1" w:rsidR="00C03F13" w:rsidRDefault="007619AC" w:rsidP="007619AC">
      <w:pPr>
        <w:pStyle w:val="BodyText"/>
        <w:ind w:firstLine="432"/>
      </w:pPr>
      <w:r w:rsidRPr="007619AC">
        <w:rPr>
          <w:highlight w:val="yellow"/>
        </w:rPr>
        <w:t xml:space="preserve">There will likely be </w:t>
      </w:r>
      <w:proofErr w:type="spellStart"/>
      <w:r w:rsidRPr="007619AC">
        <w:rPr>
          <w:highlight w:val="yellow"/>
        </w:rPr>
        <w:t>additiona</w:t>
      </w:r>
      <w:proofErr w:type="spellEnd"/>
      <w:r w:rsidRPr="007619AC">
        <w:rPr>
          <w:highlight w:val="yellow"/>
        </w:rPr>
        <w:t xml:space="preserve"> fields that are passed to the AAE interface.</w:t>
      </w: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02689153"/>
      <w:r>
        <w:t>Report Changes</w:t>
      </w:r>
      <w:bookmarkEnd w:id="28"/>
    </w:p>
    <w:p w14:paraId="3BB1FF1E" w14:textId="6B729D3C" w:rsidR="00C03F13" w:rsidRPr="007619AC" w:rsidRDefault="00050320" w:rsidP="007619AC">
      <w:pPr>
        <w:pStyle w:val="BodyText"/>
      </w:pPr>
      <w:r>
        <w:t>No Changes</w:t>
      </w:r>
    </w:p>
    <w:p w14:paraId="3CA008B4" w14:textId="5D000873" w:rsidR="00A910C9" w:rsidRDefault="00A910C9" w:rsidP="00A910C9">
      <w:pPr>
        <w:pStyle w:val="Heading1"/>
        <w:jc w:val="both"/>
      </w:pPr>
      <w:bookmarkStart w:id="29" w:name="_Toc402689167"/>
      <w:r>
        <w:t>Appendix</w:t>
      </w:r>
      <w:bookmarkEnd w:id="29"/>
      <w:r>
        <w:t xml:space="preserve"> </w:t>
      </w:r>
    </w:p>
    <w:bookmarkEnd w:id="16"/>
    <w:bookmarkEnd w:id="17"/>
    <w:bookmarkEnd w:id="18"/>
    <w:p w14:paraId="3CA008B5" w14:textId="4441B1CE" w:rsidR="00A910C9" w:rsidRDefault="00A910C9" w:rsidP="00A910C9">
      <w:pPr>
        <w:jc w:val="both"/>
      </w:pPr>
    </w:p>
    <w:sectPr w:rsidR="00A910C9" w:rsidSect="008313A9">
      <w:headerReference w:type="default" r:id="rId15"/>
      <w:footerReference w:type="default" r:id="rId16"/>
      <w:headerReference w:type="first" r:id="rId17"/>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519F1" w14:textId="77777777" w:rsidR="00D30066" w:rsidRDefault="00D30066">
      <w:r>
        <w:separator/>
      </w:r>
    </w:p>
  </w:endnote>
  <w:endnote w:type="continuationSeparator" w:id="0">
    <w:p w14:paraId="0B399E4B" w14:textId="77777777" w:rsidR="00D30066" w:rsidRDefault="00D30066">
      <w:r>
        <w:continuationSeparator/>
      </w:r>
    </w:p>
  </w:endnote>
  <w:endnote w:type="continuationNotice" w:id="1">
    <w:p w14:paraId="3DA57A23" w14:textId="77777777" w:rsidR="00D30066" w:rsidRDefault="00D30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27AF75ED" w:rsidR="00E50C89" w:rsidRPr="00C03F13" w:rsidRDefault="00D30066"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E0544D">
      <w:rPr>
        <w:rFonts w:asciiTheme="minorHAnsi" w:hAnsiTheme="minorHAnsi"/>
        <w:noProof/>
      </w:rPr>
      <w:t>December 10, 2014</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305430">
      <w:rPr>
        <w:rFonts w:asciiTheme="minorHAnsi" w:hAnsiTheme="minorHAnsi"/>
        <w:noProof/>
      </w:rPr>
      <w:t>2</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EFC0F" w14:textId="77777777" w:rsidR="00D30066" w:rsidRDefault="00D30066">
      <w:r>
        <w:separator/>
      </w:r>
    </w:p>
  </w:footnote>
  <w:footnote w:type="continuationSeparator" w:id="0">
    <w:p w14:paraId="53EA04C9" w14:textId="77777777" w:rsidR="00D30066" w:rsidRDefault="00D30066">
      <w:r>
        <w:continuationSeparator/>
      </w:r>
    </w:p>
  </w:footnote>
  <w:footnote w:type="continuationNotice" w:id="1">
    <w:p w14:paraId="01BA9E06" w14:textId="77777777" w:rsidR="00D30066" w:rsidRDefault="00D300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7">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4"/>
  </w:num>
  <w:num w:numId="4">
    <w:abstractNumId w:val="13"/>
  </w:num>
  <w:num w:numId="5">
    <w:abstractNumId w:val="24"/>
  </w:num>
  <w:num w:numId="6">
    <w:abstractNumId w:val="28"/>
  </w:num>
  <w:num w:numId="7">
    <w:abstractNumId w:val="26"/>
  </w:num>
  <w:num w:numId="8">
    <w:abstractNumId w:val="29"/>
  </w:num>
  <w:num w:numId="9">
    <w:abstractNumId w:val="13"/>
    <w:lvlOverride w:ilvl="0">
      <w:startOverride w:val="3"/>
    </w:lvlOverride>
    <w:lvlOverride w:ilvl="1">
      <w:startOverride w:val="3"/>
    </w:lvlOverride>
    <w:lvlOverride w:ilvl="2">
      <w:startOverride w:val="1"/>
    </w:lvlOverride>
    <w:lvlOverride w:ilvl="3">
      <w:startOverride w:val="2"/>
    </w:lvlOverride>
  </w:num>
  <w:num w:numId="10">
    <w:abstractNumId w:val="13"/>
  </w:num>
  <w:num w:numId="11">
    <w:abstractNumId w:val="13"/>
    <w:lvlOverride w:ilvl="0">
      <w:startOverride w:val="3"/>
    </w:lvlOverride>
    <w:lvlOverride w:ilvl="1">
      <w:startOverride w:val="3"/>
    </w:lvlOverride>
    <w:lvlOverride w:ilvl="2">
      <w:startOverride w:val="2"/>
    </w:lvlOverride>
    <w:lvlOverride w:ilvl="3">
      <w:startOverride w:val="2"/>
    </w:lvlOverride>
  </w:num>
  <w:num w:numId="12">
    <w:abstractNumId w:val="13"/>
    <w:lvlOverride w:ilvl="0">
      <w:startOverride w:val="3"/>
    </w:lvlOverride>
    <w:lvlOverride w:ilvl="1">
      <w:startOverride w:val="3"/>
    </w:lvlOverride>
    <w:lvlOverride w:ilvl="2">
      <w:startOverride w:val="3"/>
    </w:lvlOverride>
    <w:lvlOverride w:ilvl="3">
      <w:startOverride w:val="2"/>
    </w:lvlOverride>
  </w:num>
  <w:num w:numId="13">
    <w:abstractNumId w:val="10"/>
  </w:num>
  <w:num w:numId="14">
    <w:abstractNumId w:val="4"/>
  </w:num>
  <w:num w:numId="15">
    <w:abstractNumId w:val="2"/>
  </w:num>
  <w:num w:numId="16">
    <w:abstractNumId w:val="19"/>
  </w:num>
  <w:num w:numId="17">
    <w:abstractNumId w:val="9"/>
  </w:num>
  <w:num w:numId="18">
    <w:abstractNumId w:val="17"/>
  </w:num>
  <w:num w:numId="19">
    <w:abstractNumId w:val="20"/>
  </w:num>
  <w:num w:numId="20">
    <w:abstractNumId w:val="23"/>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1"/>
  </w:num>
  <w:num w:numId="30">
    <w:abstractNumId w:val="12"/>
  </w:num>
  <w:num w:numId="31">
    <w:abstractNumId w:val="25"/>
  </w:num>
  <w:num w:numId="32">
    <w:abstractNumId w:val="27"/>
  </w:num>
  <w:num w:numId="33">
    <w:abstractNumId w:val="15"/>
  </w:num>
  <w:num w:numId="34">
    <w:abstractNumId w:val="22"/>
  </w:num>
  <w:num w:numId="35">
    <w:abstractNumId w:val="3"/>
  </w:num>
  <w:num w:numId="3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9725D"/>
    <w:rsid w:val="009A137E"/>
    <w:rsid w:val="009A1D52"/>
    <w:rsid w:val="009A243A"/>
    <w:rsid w:val="009A5517"/>
    <w:rsid w:val="009A5FF9"/>
    <w:rsid w:val="009B2D74"/>
    <w:rsid w:val="009B7235"/>
    <w:rsid w:val="009C193D"/>
    <w:rsid w:val="009C40B0"/>
    <w:rsid w:val="009D730D"/>
    <w:rsid w:val="009F0457"/>
    <w:rsid w:val="009F329D"/>
    <w:rsid w:val="009F5D21"/>
    <w:rsid w:val="009F6500"/>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3F13"/>
    <w:rsid w:val="00C11917"/>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B1E71745-50CB-4F89-915C-9CF505E2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Roger Behm</cp:lastModifiedBy>
  <cp:revision>5</cp:revision>
  <cp:lastPrinted>2012-12-07T17:42:00Z</cp:lastPrinted>
  <dcterms:created xsi:type="dcterms:W3CDTF">2014-12-10T20:44:00Z</dcterms:created>
  <dcterms:modified xsi:type="dcterms:W3CDTF">2014-12-15T21:49:00Z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