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fldSimple w:instr=" TITLE  \* MERGEFORMAT ">
        <w:r w:rsidR="00A910C9" w:rsidRPr="005A5FF9">
          <w:rPr>
            <w:kern w:val="0"/>
          </w:rPr>
          <w:t>Design Specification</w:t>
        </w:r>
      </w:fldSimple>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4EF09F03" w:rsidR="009801F1" w:rsidRDefault="009801F1" w:rsidP="009801F1">
            <w:pPr>
              <w:pStyle w:val="TableText"/>
              <w:jc w:val="both"/>
            </w:pPr>
          </w:p>
        </w:tc>
        <w:tc>
          <w:tcPr>
            <w:tcW w:w="990" w:type="dxa"/>
          </w:tcPr>
          <w:p w14:paraId="3CA00743" w14:textId="6A516084" w:rsidR="009801F1" w:rsidRDefault="009801F1" w:rsidP="009801F1">
            <w:pPr>
              <w:pStyle w:val="TableText"/>
              <w:jc w:val="both"/>
            </w:pPr>
          </w:p>
        </w:tc>
        <w:tc>
          <w:tcPr>
            <w:tcW w:w="4950" w:type="dxa"/>
          </w:tcPr>
          <w:p w14:paraId="3CA00744" w14:textId="7C83E0BB" w:rsidR="009801F1" w:rsidRDefault="009801F1" w:rsidP="009801F1">
            <w:pPr>
              <w:pStyle w:val="TableText"/>
            </w:pPr>
          </w:p>
        </w:tc>
        <w:tc>
          <w:tcPr>
            <w:tcW w:w="1646" w:type="dxa"/>
          </w:tcPr>
          <w:p w14:paraId="3CA00745" w14:textId="01B449E7" w:rsidR="009801F1" w:rsidRDefault="009801F1" w:rsidP="009801F1">
            <w:pPr>
              <w:pStyle w:val="TableText"/>
              <w:jc w:val="both"/>
            </w:pP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4E8FA89F" w14:textId="77777777" w:rsidR="002B2D37"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B2D37">
        <w:rPr>
          <w:noProof/>
        </w:rPr>
        <w:t>1</w:t>
      </w:r>
      <w:r w:rsidR="002B2D37">
        <w:rPr>
          <w:rFonts w:asciiTheme="minorHAnsi" w:eastAsiaTheme="minorEastAsia" w:hAnsiTheme="minorHAnsi" w:cstheme="minorBidi"/>
          <w:b w:val="0"/>
          <w:caps w:val="0"/>
          <w:noProof/>
          <w:sz w:val="22"/>
          <w:szCs w:val="22"/>
        </w:rPr>
        <w:tab/>
      </w:r>
      <w:r w:rsidR="002B2D37">
        <w:rPr>
          <w:noProof/>
        </w:rPr>
        <w:t>Business Requirements</w:t>
      </w:r>
      <w:r w:rsidR="002B2D37">
        <w:rPr>
          <w:noProof/>
        </w:rPr>
        <w:tab/>
      </w:r>
      <w:r w:rsidR="002B2D37">
        <w:rPr>
          <w:noProof/>
        </w:rPr>
        <w:fldChar w:fldCharType="begin"/>
      </w:r>
      <w:r w:rsidR="002B2D37">
        <w:rPr>
          <w:noProof/>
        </w:rPr>
        <w:instrText xml:space="preserve"> PAGEREF _Toc402689142 \h </w:instrText>
      </w:r>
      <w:r w:rsidR="002B2D37">
        <w:rPr>
          <w:noProof/>
        </w:rPr>
      </w:r>
      <w:r w:rsidR="002B2D37">
        <w:rPr>
          <w:noProof/>
        </w:rPr>
        <w:fldChar w:fldCharType="separate"/>
      </w:r>
      <w:r w:rsidR="002B2D37">
        <w:rPr>
          <w:noProof/>
        </w:rPr>
        <w:t>4</w:t>
      </w:r>
      <w:r w:rsidR="002B2D37">
        <w:rPr>
          <w:noProof/>
        </w:rPr>
        <w:fldChar w:fldCharType="end"/>
      </w:r>
    </w:p>
    <w:p w14:paraId="7844BA3E"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_Toc402689143 \h </w:instrText>
      </w:r>
      <w:r>
        <w:rPr>
          <w:noProof/>
        </w:rPr>
      </w:r>
      <w:r>
        <w:rPr>
          <w:noProof/>
        </w:rPr>
        <w:fldChar w:fldCharType="separate"/>
      </w:r>
      <w:r>
        <w:rPr>
          <w:noProof/>
        </w:rPr>
        <w:t>4</w:t>
      </w:r>
      <w:r>
        <w:rPr>
          <w:noProof/>
        </w:rPr>
        <w:fldChar w:fldCharType="end"/>
      </w:r>
    </w:p>
    <w:p w14:paraId="7FA9DE98"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_Toc402689144 \h </w:instrText>
      </w:r>
      <w:r>
        <w:rPr>
          <w:noProof/>
        </w:rPr>
      </w:r>
      <w:r>
        <w:rPr>
          <w:noProof/>
        </w:rPr>
        <w:fldChar w:fldCharType="separate"/>
      </w:r>
      <w:r>
        <w:rPr>
          <w:noProof/>
        </w:rPr>
        <w:t>4</w:t>
      </w:r>
      <w:r>
        <w:rPr>
          <w:noProof/>
        </w:rPr>
        <w:fldChar w:fldCharType="end"/>
      </w:r>
    </w:p>
    <w:p w14:paraId="32CD7A03"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_Toc402689145 \h </w:instrText>
      </w:r>
      <w:r>
        <w:rPr>
          <w:noProof/>
        </w:rPr>
      </w:r>
      <w:r>
        <w:rPr>
          <w:noProof/>
        </w:rPr>
        <w:fldChar w:fldCharType="separate"/>
      </w:r>
      <w:r>
        <w:rPr>
          <w:noProof/>
        </w:rPr>
        <w:t>6</w:t>
      </w:r>
      <w:r>
        <w:rPr>
          <w:noProof/>
        </w:rPr>
        <w:fldChar w:fldCharType="end"/>
      </w:r>
    </w:p>
    <w:p w14:paraId="0FCE8442"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_Toc402689146 \h </w:instrText>
      </w:r>
      <w:r>
        <w:rPr>
          <w:noProof/>
        </w:rPr>
      </w:r>
      <w:r>
        <w:rPr>
          <w:noProof/>
        </w:rPr>
        <w:fldChar w:fldCharType="separate"/>
      </w:r>
      <w:r>
        <w:rPr>
          <w:noProof/>
        </w:rPr>
        <w:t>7</w:t>
      </w:r>
      <w:r>
        <w:rPr>
          <w:noProof/>
        </w:rPr>
        <w:fldChar w:fldCharType="end"/>
      </w:r>
    </w:p>
    <w:p w14:paraId="00B4902D"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_Toc402689147 \h </w:instrText>
      </w:r>
      <w:r>
        <w:rPr>
          <w:noProof/>
        </w:rPr>
      </w:r>
      <w:r>
        <w:rPr>
          <w:noProof/>
        </w:rPr>
        <w:fldChar w:fldCharType="separate"/>
      </w:r>
      <w:r>
        <w:rPr>
          <w:noProof/>
        </w:rPr>
        <w:t>8</w:t>
      </w:r>
      <w:r>
        <w:rPr>
          <w:noProof/>
        </w:rPr>
        <w:fldChar w:fldCharType="end"/>
      </w:r>
    </w:p>
    <w:p w14:paraId="2A0BCAAB"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_Toc402689148 \h </w:instrText>
      </w:r>
      <w:r>
        <w:rPr>
          <w:noProof/>
        </w:rPr>
      </w:r>
      <w:r>
        <w:rPr>
          <w:noProof/>
        </w:rPr>
        <w:fldChar w:fldCharType="separate"/>
      </w:r>
      <w:r>
        <w:rPr>
          <w:noProof/>
        </w:rPr>
        <w:t>8</w:t>
      </w:r>
      <w:r>
        <w:rPr>
          <w:noProof/>
        </w:rPr>
        <w:fldChar w:fldCharType="end"/>
      </w:r>
    </w:p>
    <w:p w14:paraId="216ABE1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_Toc402689149 \h </w:instrText>
      </w:r>
      <w:r>
        <w:rPr>
          <w:noProof/>
        </w:rPr>
      </w:r>
      <w:r>
        <w:rPr>
          <w:noProof/>
        </w:rPr>
        <w:fldChar w:fldCharType="separate"/>
      </w:r>
      <w:r>
        <w:rPr>
          <w:noProof/>
        </w:rPr>
        <w:t>8</w:t>
      </w:r>
      <w:r>
        <w:rPr>
          <w:noProof/>
        </w:rPr>
        <w:fldChar w:fldCharType="end"/>
      </w:r>
    </w:p>
    <w:p w14:paraId="170A5D2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_Toc402689150 \h </w:instrText>
      </w:r>
      <w:r>
        <w:rPr>
          <w:noProof/>
        </w:rPr>
      </w:r>
      <w:r>
        <w:rPr>
          <w:noProof/>
        </w:rPr>
        <w:fldChar w:fldCharType="separate"/>
      </w:r>
      <w:r>
        <w:rPr>
          <w:noProof/>
        </w:rPr>
        <w:t>8</w:t>
      </w:r>
      <w:r>
        <w:rPr>
          <w:noProof/>
        </w:rPr>
        <w:fldChar w:fldCharType="end"/>
      </w:r>
    </w:p>
    <w:p w14:paraId="03A410CD"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_Toc402689151 \h </w:instrText>
      </w:r>
      <w:r>
        <w:rPr>
          <w:noProof/>
        </w:rPr>
      </w:r>
      <w:r>
        <w:rPr>
          <w:noProof/>
        </w:rPr>
        <w:fldChar w:fldCharType="separate"/>
      </w:r>
      <w:r>
        <w:rPr>
          <w:noProof/>
        </w:rPr>
        <w:t>8</w:t>
      </w:r>
      <w:r>
        <w:rPr>
          <w:noProof/>
        </w:rPr>
        <w:fldChar w:fldCharType="end"/>
      </w:r>
    </w:p>
    <w:p w14:paraId="482534B8"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_Toc402689152 \h </w:instrText>
      </w:r>
      <w:r>
        <w:rPr>
          <w:noProof/>
        </w:rPr>
      </w:r>
      <w:r>
        <w:rPr>
          <w:noProof/>
        </w:rPr>
        <w:fldChar w:fldCharType="separate"/>
      </w:r>
      <w:r>
        <w:rPr>
          <w:noProof/>
        </w:rPr>
        <w:t>8</w:t>
      </w:r>
      <w:r>
        <w:rPr>
          <w:noProof/>
        </w:rPr>
        <w:fldChar w:fldCharType="end"/>
      </w:r>
    </w:p>
    <w:p w14:paraId="5664476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_Toc402689153 \h </w:instrText>
      </w:r>
      <w:r>
        <w:rPr>
          <w:noProof/>
        </w:rPr>
      </w:r>
      <w:r>
        <w:rPr>
          <w:noProof/>
        </w:rPr>
        <w:fldChar w:fldCharType="separate"/>
      </w:r>
      <w:r>
        <w:rPr>
          <w:noProof/>
        </w:rPr>
        <w:t>9</w:t>
      </w:r>
      <w:r>
        <w:rPr>
          <w:noProof/>
        </w:rPr>
        <w:fldChar w:fldCharType="end"/>
      </w:r>
    </w:p>
    <w:p w14:paraId="60151B2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_Toc402689154 \h </w:instrText>
      </w:r>
      <w:r>
        <w:rPr>
          <w:noProof/>
        </w:rPr>
      </w:r>
      <w:r>
        <w:rPr>
          <w:noProof/>
        </w:rPr>
        <w:fldChar w:fldCharType="separate"/>
      </w:r>
      <w:r>
        <w:rPr>
          <w:noProof/>
        </w:rPr>
        <w:t>10</w:t>
      </w:r>
      <w:r>
        <w:rPr>
          <w:noProof/>
        </w:rPr>
        <w:fldChar w:fldCharType="end"/>
      </w:r>
    </w:p>
    <w:p w14:paraId="24C093D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_Toc402689155 \h </w:instrText>
      </w:r>
      <w:r>
        <w:rPr>
          <w:noProof/>
        </w:rPr>
      </w:r>
      <w:r>
        <w:rPr>
          <w:noProof/>
        </w:rPr>
        <w:fldChar w:fldCharType="separate"/>
      </w:r>
      <w:r>
        <w:rPr>
          <w:noProof/>
        </w:rPr>
        <w:t>10</w:t>
      </w:r>
      <w:r>
        <w:rPr>
          <w:noProof/>
        </w:rPr>
        <w:fldChar w:fldCharType="end"/>
      </w:r>
    </w:p>
    <w:p w14:paraId="0AF4A10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_Toc402689156 \h </w:instrText>
      </w:r>
      <w:r>
        <w:rPr>
          <w:noProof/>
        </w:rPr>
      </w:r>
      <w:r>
        <w:rPr>
          <w:noProof/>
        </w:rPr>
        <w:fldChar w:fldCharType="separate"/>
      </w:r>
      <w:r>
        <w:rPr>
          <w:noProof/>
        </w:rPr>
        <w:t>10</w:t>
      </w:r>
      <w:r>
        <w:rPr>
          <w:noProof/>
        </w:rPr>
        <w:fldChar w:fldCharType="end"/>
      </w:r>
    </w:p>
    <w:p w14:paraId="65D2886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_Toc402689157 \h </w:instrText>
      </w:r>
      <w:r>
        <w:rPr>
          <w:noProof/>
        </w:rPr>
      </w:r>
      <w:r>
        <w:rPr>
          <w:noProof/>
        </w:rPr>
        <w:fldChar w:fldCharType="separate"/>
      </w:r>
      <w:r>
        <w:rPr>
          <w:noProof/>
        </w:rPr>
        <w:t>10</w:t>
      </w:r>
      <w:r>
        <w:rPr>
          <w:noProof/>
        </w:rPr>
        <w:fldChar w:fldCharType="end"/>
      </w:r>
    </w:p>
    <w:p w14:paraId="58C7786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_Toc402689158 \h </w:instrText>
      </w:r>
      <w:r>
        <w:rPr>
          <w:noProof/>
        </w:rPr>
      </w:r>
      <w:r>
        <w:rPr>
          <w:noProof/>
        </w:rPr>
        <w:fldChar w:fldCharType="separate"/>
      </w:r>
      <w:r>
        <w:rPr>
          <w:noProof/>
        </w:rPr>
        <w:t>10</w:t>
      </w:r>
      <w:r>
        <w:rPr>
          <w:noProof/>
        </w:rPr>
        <w:fldChar w:fldCharType="end"/>
      </w:r>
    </w:p>
    <w:p w14:paraId="776244C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_Toc402689159 \h </w:instrText>
      </w:r>
      <w:r>
        <w:rPr>
          <w:noProof/>
        </w:rPr>
      </w:r>
      <w:r>
        <w:rPr>
          <w:noProof/>
        </w:rPr>
        <w:fldChar w:fldCharType="separate"/>
      </w:r>
      <w:r>
        <w:rPr>
          <w:noProof/>
        </w:rPr>
        <w:t>11</w:t>
      </w:r>
      <w:r>
        <w:rPr>
          <w:noProof/>
        </w:rPr>
        <w:fldChar w:fldCharType="end"/>
      </w:r>
    </w:p>
    <w:p w14:paraId="0FF680AF"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_Toc402689160 \h </w:instrText>
      </w:r>
      <w:r>
        <w:rPr>
          <w:noProof/>
        </w:rPr>
      </w:r>
      <w:r>
        <w:rPr>
          <w:noProof/>
        </w:rPr>
        <w:fldChar w:fldCharType="separate"/>
      </w:r>
      <w:r>
        <w:rPr>
          <w:noProof/>
        </w:rPr>
        <w:t>11</w:t>
      </w:r>
      <w:r>
        <w:rPr>
          <w:noProof/>
        </w:rPr>
        <w:fldChar w:fldCharType="end"/>
      </w:r>
    </w:p>
    <w:p w14:paraId="7EB3782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6.2</w:t>
      </w:r>
      <w:r>
        <w:rPr>
          <w:rFonts w:asciiTheme="minorHAnsi" w:eastAsiaTheme="minorEastAsia" w:hAnsiTheme="minorHAnsi" w:cstheme="minorBidi"/>
          <w:smallCaps w:val="0"/>
          <w:noProof/>
          <w:sz w:val="22"/>
          <w:szCs w:val="22"/>
        </w:rPr>
        <w:tab/>
      </w:r>
      <w:r w:rsidRPr="00C23FA8">
        <w:rPr>
          <w:bCs/>
          <w:iCs/>
          <w:noProof/>
        </w:rPr>
        <w:t>Policies and Procedures</w:t>
      </w:r>
      <w:r>
        <w:rPr>
          <w:noProof/>
        </w:rPr>
        <w:tab/>
      </w:r>
      <w:r>
        <w:rPr>
          <w:noProof/>
        </w:rPr>
        <w:fldChar w:fldCharType="begin"/>
      </w:r>
      <w:r>
        <w:rPr>
          <w:noProof/>
        </w:rPr>
        <w:instrText xml:space="preserve"> PAGEREF _Toc402689161 \h </w:instrText>
      </w:r>
      <w:r>
        <w:rPr>
          <w:noProof/>
        </w:rPr>
      </w:r>
      <w:r>
        <w:rPr>
          <w:noProof/>
        </w:rPr>
        <w:fldChar w:fldCharType="separate"/>
      </w:r>
      <w:r>
        <w:rPr>
          <w:noProof/>
        </w:rPr>
        <w:t>11</w:t>
      </w:r>
      <w:r>
        <w:rPr>
          <w:noProof/>
        </w:rPr>
        <w:fldChar w:fldCharType="end"/>
      </w:r>
    </w:p>
    <w:p w14:paraId="4614CA4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6.3</w:t>
      </w:r>
      <w:r>
        <w:rPr>
          <w:rFonts w:asciiTheme="minorHAnsi" w:eastAsiaTheme="minorEastAsia" w:hAnsiTheme="minorHAnsi" w:cstheme="minorBidi"/>
          <w:smallCaps w:val="0"/>
          <w:noProof/>
          <w:sz w:val="22"/>
          <w:szCs w:val="22"/>
        </w:rPr>
        <w:tab/>
      </w:r>
      <w:r w:rsidRPr="00C23FA8">
        <w:rPr>
          <w:bCs/>
          <w:iCs/>
          <w:noProof/>
        </w:rPr>
        <w:t>Security Design</w:t>
      </w:r>
      <w:r>
        <w:rPr>
          <w:noProof/>
        </w:rPr>
        <w:tab/>
      </w:r>
      <w:r>
        <w:rPr>
          <w:noProof/>
        </w:rPr>
        <w:fldChar w:fldCharType="begin"/>
      </w:r>
      <w:r>
        <w:rPr>
          <w:noProof/>
        </w:rPr>
        <w:instrText xml:space="preserve"> PAGEREF _Toc402689162 \h </w:instrText>
      </w:r>
      <w:r>
        <w:rPr>
          <w:noProof/>
        </w:rPr>
      </w:r>
      <w:r>
        <w:rPr>
          <w:noProof/>
        </w:rPr>
        <w:fldChar w:fldCharType="separate"/>
      </w:r>
      <w:r>
        <w:rPr>
          <w:noProof/>
        </w:rPr>
        <w:t>11</w:t>
      </w:r>
      <w:r>
        <w:rPr>
          <w:noProof/>
        </w:rPr>
        <w:fldChar w:fldCharType="end"/>
      </w:r>
    </w:p>
    <w:p w14:paraId="269FFD0D"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_Toc402689163 \h </w:instrText>
      </w:r>
      <w:r>
        <w:rPr>
          <w:noProof/>
        </w:rPr>
      </w:r>
      <w:r>
        <w:rPr>
          <w:noProof/>
        </w:rPr>
        <w:fldChar w:fldCharType="separate"/>
      </w:r>
      <w:r>
        <w:rPr>
          <w:noProof/>
        </w:rPr>
        <w:t>11</w:t>
      </w:r>
      <w:r>
        <w:rPr>
          <w:noProof/>
        </w:rPr>
        <w:fldChar w:fldCharType="end"/>
      </w:r>
    </w:p>
    <w:p w14:paraId="62BBA29A"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_Toc402689164 \h </w:instrText>
      </w:r>
      <w:r>
        <w:rPr>
          <w:noProof/>
        </w:rPr>
      </w:r>
      <w:r>
        <w:rPr>
          <w:noProof/>
        </w:rPr>
        <w:fldChar w:fldCharType="separate"/>
      </w:r>
      <w:r>
        <w:rPr>
          <w:noProof/>
        </w:rPr>
        <w:t>11</w:t>
      </w:r>
      <w:r>
        <w:rPr>
          <w:noProof/>
        </w:rPr>
        <w:fldChar w:fldCharType="end"/>
      </w:r>
    </w:p>
    <w:p w14:paraId="5359E7B4"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_Toc402689165 \h </w:instrText>
      </w:r>
      <w:r>
        <w:rPr>
          <w:noProof/>
        </w:rPr>
      </w:r>
      <w:r>
        <w:rPr>
          <w:noProof/>
        </w:rPr>
        <w:fldChar w:fldCharType="separate"/>
      </w:r>
      <w:r>
        <w:rPr>
          <w:noProof/>
        </w:rPr>
        <w:t>11</w:t>
      </w:r>
      <w:r>
        <w:rPr>
          <w:noProof/>
        </w:rPr>
        <w:fldChar w:fldCharType="end"/>
      </w:r>
    </w:p>
    <w:p w14:paraId="3B1AC49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_Toc402689166 \h </w:instrText>
      </w:r>
      <w:r>
        <w:rPr>
          <w:noProof/>
        </w:rPr>
      </w:r>
      <w:r>
        <w:rPr>
          <w:noProof/>
        </w:rPr>
        <w:fldChar w:fldCharType="separate"/>
      </w:r>
      <w:r>
        <w:rPr>
          <w:noProof/>
        </w:rPr>
        <w:t>11</w:t>
      </w:r>
      <w:r>
        <w:rPr>
          <w:noProof/>
        </w:rPr>
        <w:fldChar w:fldCharType="end"/>
      </w:r>
    </w:p>
    <w:p w14:paraId="0CF5041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_Toc402689167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402689142"/>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402689143"/>
      <w:r>
        <w:t xml:space="preserve">Purpose of the </w:t>
      </w:r>
      <w:bookmarkEnd w:id="7"/>
      <w:bookmarkEnd w:id="8"/>
      <w:bookmarkEnd w:id="9"/>
      <w:r>
        <w:t>Design Specification</w:t>
      </w:r>
      <w:bookmarkEnd w:id="10"/>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402689144"/>
      <w:bookmarkStart w:id="12" w:name="_Toc342757861"/>
      <w:bookmarkStart w:id="13" w:name="_Toc346297769"/>
      <w:bookmarkStart w:id="14" w:name="_Toc404134499"/>
      <w:r w:rsidRPr="00F93315">
        <w:t>Business Functional Requirements</w:t>
      </w:r>
      <w:r w:rsidR="00F040D7">
        <w:t xml:space="preserve"> / Configuration</w:t>
      </w:r>
      <w:bookmarkEnd w:id="11"/>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7F2153">
              <w:t>Compactor Maintenance Factor will require a config</w:t>
            </w:r>
            <w:r w:rsidR="00D73EE1" w:rsidRPr="007F2153">
              <w:t>uration</w:t>
            </w:r>
            <w:r w:rsidRPr="007F2153">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7F2153">
              <w:t>Floor, average, and target returns are table-driven and not division-configurable.  These returns will</w:t>
            </w:r>
            <w:r w:rsidR="00F12B1B" w:rsidRPr="007F2153">
              <w:t xml:space="preserve"> be applied on top of the user-</w:t>
            </w:r>
            <w:r w:rsidR="00340B85" w:rsidRPr="007F2153">
              <w:t>entered installation cost and asset value.</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1F1D30B7" w:rsidR="00D05269" w:rsidRDefault="002915BD" w:rsidP="00CC61D5">
            <w:pPr>
              <w:pStyle w:val="ListParagraph"/>
              <w:numPr>
                <w:ilvl w:val="1"/>
                <w:numId w:val="26"/>
              </w:numPr>
            </w:pPr>
            <w:r>
              <w:t xml:space="preserve">Delivery </w:t>
            </w:r>
            <w:r w:rsidR="00A86B57">
              <w:t>- Per-Service</w:t>
            </w:r>
            <w:r w:rsidR="00D05269">
              <w:t xml:space="preserve"> (new)</w:t>
            </w:r>
          </w:p>
          <w:p w14:paraId="0E775FAF" w14:textId="75AD6C61" w:rsidR="00D05269" w:rsidRDefault="002915BD" w:rsidP="00CC61D5">
            <w:pPr>
              <w:pStyle w:val="ListParagraph"/>
              <w:numPr>
                <w:ilvl w:val="1"/>
                <w:numId w:val="26"/>
              </w:numPr>
            </w:pPr>
            <w:r>
              <w:t xml:space="preserve">Installation - </w:t>
            </w:r>
            <w:r w:rsidR="00A86B57">
              <w:t>Per</w:t>
            </w:r>
            <w:r w:rsidR="00D05269">
              <w:t>-</w:t>
            </w:r>
            <w:r w:rsidR="00A86B57">
              <w:t>Service</w:t>
            </w:r>
            <w:r w:rsidR="00D05269">
              <w:t>,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4B0FA767" w:rsidR="00CD0D7B" w:rsidRPr="00CD0D7B" w:rsidRDefault="00CD0D7B" w:rsidP="008C503B">
            <w:pPr>
              <w:pStyle w:val="ListParagraph"/>
              <w:numPr>
                <w:ilvl w:val="0"/>
                <w:numId w:val="32"/>
              </w:numPr>
            </w:pPr>
            <w:r>
              <w:t>The finalize screen will display the Asset Value</w:t>
            </w:r>
            <w:r w:rsidR="008C503B">
              <w:t xml:space="preserve"> and future approval email</w:t>
            </w:r>
            <w:r>
              <w:t>.</w:t>
            </w:r>
            <w:r w:rsidR="008C503B">
              <w:t xml:space="preserve">  Location on screen should be in the section below the comments field.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5" w:name="_Toc342757862"/>
      <w:bookmarkStart w:id="16" w:name="_Toc346297770"/>
      <w:bookmarkStart w:id="17"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8" w:name="_Toc402689145"/>
      <w:r>
        <w:t>Technical Design</w:t>
      </w:r>
      <w:r w:rsidRPr="00F93315">
        <w:t xml:space="preserve"> Requirements</w:t>
      </w:r>
      <w:bookmarkEnd w:id="18"/>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3093"/>
        <w:gridCol w:w="6053"/>
      </w:tblGrid>
      <w:tr w:rsidR="00CA2B01" w:rsidRPr="00A16533" w14:paraId="3CE95FAF" w14:textId="77777777" w:rsidTr="00E0544D">
        <w:trPr>
          <w:cantSplit/>
          <w:tblHeader/>
        </w:trPr>
        <w:tc>
          <w:tcPr>
            <w:tcW w:w="30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05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053"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2C27CD5" w:rsidR="00FA2A69" w:rsidRPr="00FA2A69" w:rsidRDefault="00296848" w:rsidP="00FA2A69">
            <w:r>
              <w:t xml:space="preserve">  </w:t>
            </w:r>
            <w:r w:rsidR="00FA2A69" w:rsidRPr="00FA2A69">
              <w:t xml:space="preserve">Delivery - </w:t>
            </w:r>
            <w:r w:rsidR="00E34C16">
              <w:t>Per</w:t>
            </w:r>
            <w:r w:rsidR="00602096">
              <w:t>-</w:t>
            </w:r>
            <w:r w:rsidR="00E34C16">
              <w:t>Service</w:t>
            </w:r>
          </w:p>
          <w:p w14:paraId="6C1A3789" w14:textId="2F900B1E" w:rsidR="00FA2A69" w:rsidRPr="00FA2A69" w:rsidRDefault="00296848" w:rsidP="00FA2A69">
            <w:r>
              <w:t xml:space="preserve">  </w:t>
            </w:r>
            <w:r w:rsidR="00E34C16">
              <w:t>Installation - Per-Service</w:t>
            </w:r>
          </w:p>
          <w:p w14:paraId="596CE60F" w14:textId="77777777" w:rsidR="00FA2A69" w:rsidRDefault="00FA2A69" w:rsidP="00FA4D21"/>
          <w:p w14:paraId="41C2A557" w14:textId="77777777" w:rsidR="00296848" w:rsidRPr="00F10C82" w:rsidRDefault="00296848" w:rsidP="00FA4D21">
            <w:r w:rsidRPr="00F10C82">
              <w:t>Required columns are identical to existing line items:</w:t>
            </w:r>
          </w:p>
          <w:p w14:paraId="2117FA75" w14:textId="30CBFCF9" w:rsidR="00296848" w:rsidRPr="00F10C82" w:rsidRDefault="00296848" w:rsidP="00296848">
            <w:r w:rsidRPr="00F10C82">
              <w:t xml:space="preserve">  Quantity</w:t>
            </w:r>
          </w:p>
          <w:p w14:paraId="2FF02C7A" w14:textId="77777777" w:rsidR="00296848" w:rsidRPr="00F10C82" w:rsidRDefault="00296848" w:rsidP="00FA4D21">
            <w:r w:rsidRPr="00F10C82">
              <w:t xml:space="preserve">  Description</w:t>
            </w:r>
          </w:p>
          <w:p w14:paraId="5AD92F72" w14:textId="77777777" w:rsidR="00296848" w:rsidRPr="00F10C82" w:rsidRDefault="00296848" w:rsidP="00FA4D21">
            <w:r w:rsidRPr="00F10C82">
              <w:t xml:space="preserve">  Cost</w:t>
            </w:r>
          </w:p>
          <w:p w14:paraId="27861CCD" w14:textId="77777777" w:rsidR="00296848" w:rsidRPr="00F10C82" w:rsidRDefault="00296848" w:rsidP="00FA4D21">
            <w:r w:rsidRPr="00F10C82">
              <w:t xml:space="preserve">  Floor</w:t>
            </w:r>
          </w:p>
          <w:p w14:paraId="5B04D49F" w14:textId="1CC3AF00" w:rsidR="00296848" w:rsidRPr="00F10C82" w:rsidRDefault="00296848" w:rsidP="00FA4D21">
            <w:r w:rsidRPr="00F10C82">
              <w:t xml:space="preserve">  Average</w:t>
            </w:r>
          </w:p>
          <w:p w14:paraId="1A1D45BB" w14:textId="77777777" w:rsidR="00296848" w:rsidRPr="00F10C82" w:rsidRDefault="00296848" w:rsidP="00FA4D21">
            <w:r w:rsidRPr="00F10C82">
              <w:t xml:space="preserve">  Target</w:t>
            </w:r>
          </w:p>
          <w:p w14:paraId="1C1ED1C2" w14:textId="77777777" w:rsidR="00296848" w:rsidRPr="00F10C82" w:rsidRDefault="00296848" w:rsidP="00FA4D21">
            <w:r w:rsidRPr="00F10C82">
              <w:t xml:space="preserve">  Price</w:t>
            </w:r>
          </w:p>
          <w:p w14:paraId="7390647A" w14:textId="0BD0D8E5" w:rsidR="00296848" w:rsidRPr="00F10C82" w:rsidRDefault="00296848" w:rsidP="00FA4D21">
            <w:r w:rsidRPr="00F10C82">
              <w:t xml:space="preserve">  FRF</w:t>
            </w:r>
          </w:p>
          <w:p w14:paraId="661D916C" w14:textId="77777777" w:rsidR="00296848" w:rsidRPr="00F10C82" w:rsidRDefault="00296848" w:rsidP="00FA4D21">
            <w:r w:rsidRPr="00F10C82">
              <w:t xml:space="preserve">  ERF</w:t>
            </w:r>
          </w:p>
          <w:p w14:paraId="528A506C" w14:textId="77777777" w:rsidR="00296848" w:rsidRPr="00F10C82" w:rsidRDefault="00296848" w:rsidP="00FA4D21">
            <w:r w:rsidRPr="00F10C82">
              <w:t xml:space="preserve">  Total</w:t>
            </w:r>
          </w:p>
          <w:p w14:paraId="0FF91CE1" w14:textId="679E2D52" w:rsidR="00296848" w:rsidRPr="00FA4D21" w:rsidRDefault="00296848" w:rsidP="00602096">
            <w:r w:rsidRPr="00F10C82">
              <w:t xml:space="preserve">  Billing Method</w:t>
            </w:r>
          </w:p>
        </w:tc>
      </w:tr>
      <w:tr w:rsidR="00CA2B01" w:rsidRPr="004D04DC" w14:paraId="2B30CFA0" w14:textId="77777777" w:rsidTr="00F10C82">
        <w:trPr>
          <w:cantSplit/>
          <w:trHeight w:val="584"/>
        </w:trPr>
        <w:tc>
          <w:tcPr>
            <w:tcW w:w="3093"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053" w:type="dxa"/>
            <w:tcBorders>
              <w:top w:val="single" w:sz="4" w:space="0" w:color="auto"/>
              <w:left w:val="single" w:sz="4" w:space="0" w:color="auto"/>
              <w:bottom w:val="single" w:sz="4" w:space="0" w:color="auto"/>
              <w:right w:val="single" w:sz="4" w:space="0" w:color="auto"/>
            </w:tcBorders>
            <w:shd w:val="clear" w:color="auto" w:fill="auto"/>
          </w:tcPr>
          <w:p w14:paraId="7640F255" w14:textId="600FC726" w:rsidR="00602096" w:rsidRPr="00F10C82" w:rsidRDefault="00602096" w:rsidP="00FA4D21">
            <w:r w:rsidRPr="00F10C82">
              <w:t>Compactor Maintenance Factor is division configurable, but currently set to 4% for large container compactors.  Allowing for a configurable compactor maintenance factor will require</w:t>
            </w:r>
            <w:r w:rsidR="00A14591" w:rsidRPr="00F10C82">
              <w:t xml:space="preserve"> an update the configuration templates. </w:t>
            </w:r>
          </w:p>
          <w:p w14:paraId="1010E5F2" w14:textId="77777777" w:rsidR="00A14591" w:rsidRPr="00F10C82" w:rsidRDefault="00A14591" w:rsidP="00FA4D21"/>
          <w:p w14:paraId="4664FC53" w14:textId="1E211575" w:rsidR="008D5E5F" w:rsidRPr="00FA4D21" w:rsidRDefault="00602096" w:rsidP="00FA4D21">
            <w:r w:rsidRPr="00F10C82">
              <w:t>Note: compactor margins are not division configurable.</w:t>
            </w:r>
          </w:p>
        </w:tc>
      </w:tr>
      <w:tr w:rsidR="00050320" w:rsidRPr="004D04DC" w14:paraId="192E9A35"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053" w:type="dxa"/>
            <w:tcBorders>
              <w:top w:val="single" w:sz="4" w:space="0" w:color="auto"/>
              <w:left w:val="single" w:sz="4" w:space="0" w:color="auto"/>
              <w:bottom w:val="single" w:sz="4" w:space="0" w:color="auto"/>
              <w:right w:val="single" w:sz="4" w:space="0" w:color="auto"/>
            </w:tcBorders>
          </w:tcPr>
          <w:p w14:paraId="6B8B1AD8" w14:textId="6BA5EDA4" w:rsidR="00A14591" w:rsidRPr="007619AC" w:rsidRDefault="00A14591" w:rsidP="00A14591">
            <w:r w:rsidRPr="007619AC">
              <w:t xml:space="preserve">If adding a configurable compactor maintenance factor, </w:t>
            </w:r>
          </w:p>
          <w:p w14:paraId="419AD285" w14:textId="170E1876" w:rsidR="00A14591" w:rsidRDefault="00A14591" w:rsidP="00A14591">
            <w:proofErr w:type="spellStart"/>
            <w:r w:rsidRPr="007619AC">
              <w:t>Div_Sm_Cont_Factors</w:t>
            </w:r>
            <w:proofErr w:type="spellEnd"/>
            <w:r w:rsidRPr="007619AC">
              <w:t xml:space="preserve"> will require a </w:t>
            </w:r>
            <w:proofErr w:type="spellStart"/>
            <w:r w:rsidRPr="007619AC">
              <w:t>comp_maint_factor</w:t>
            </w:r>
            <w:proofErr w:type="spellEnd"/>
            <w:r w:rsidRPr="007619AC">
              <w:t xml:space="preserve"> field.</w:t>
            </w:r>
          </w:p>
          <w:p w14:paraId="4CDB6E98" w14:textId="5857F690" w:rsidR="00706525" w:rsidRPr="005739B9" w:rsidRDefault="00706525" w:rsidP="005739B9"/>
        </w:tc>
      </w:tr>
      <w:tr w:rsidR="00E0092F" w:rsidRPr="004D04DC" w14:paraId="6ADC96DD"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648B7F26" w:rsidR="00E0092F" w:rsidRPr="00425538" w:rsidRDefault="00425538" w:rsidP="00425538">
            <w:r w:rsidRPr="00E0092F">
              <w:t>Pricing Changes</w:t>
            </w:r>
            <w:r w:rsidR="00C006C3">
              <w:t xml:space="preserve"> (</w:t>
            </w:r>
            <w:r w:rsidR="00C006C3" w:rsidRPr="00C006C3">
              <w:rPr>
                <w:highlight w:val="yellow"/>
              </w:rPr>
              <w:t>needs review</w:t>
            </w:r>
            <w:r w:rsidR="00C006C3">
              <w:t>)</w:t>
            </w:r>
          </w:p>
        </w:tc>
        <w:tc>
          <w:tcPr>
            <w:tcW w:w="6053"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r w:rsidRPr="002B2D37">
              <w:rPr>
                <w:b/>
                <w:u w:val="single"/>
              </w:rPr>
              <w:t>Guardrails</w:t>
            </w:r>
          </w:p>
          <w:p w14:paraId="080E3203" w14:textId="77777777" w:rsidR="00F51556" w:rsidRPr="002B2D37" w:rsidRDefault="00F51556" w:rsidP="00CC61D5">
            <w:pPr>
              <w:rPr>
                <w:b/>
                <w:u w:val="single"/>
              </w:rPr>
            </w:pPr>
          </w:p>
          <w:p w14:paraId="56BC98B2" w14:textId="0088263D" w:rsidR="002B2D37" w:rsidRPr="00F51556" w:rsidRDefault="00F51556" w:rsidP="002B2D37">
            <w:pPr>
              <w:rPr>
                <w:b/>
              </w:rPr>
            </w:pPr>
            <w:r w:rsidRPr="00F51556">
              <w:rPr>
                <w:b/>
              </w:rPr>
              <w:t>Base (monthly)</w:t>
            </w:r>
          </w:p>
          <w:p w14:paraId="42A1228B" w14:textId="77777777" w:rsidR="004C6C27" w:rsidRDefault="004C6C27" w:rsidP="002B2D37">
            <w:r>
              <w:t xml:space="preserve">    Cost = </w:t>
            </w:r>
          </w:p>
          <w:p w14:paraId="17FEBCFD" w14:textId="77777777" w:rsidR="004C6C27" w:rsidRDefault="004C6C27" w:rsidP="002B2D37">
            <w:r>
              <w:t xml:space="preserve">    Floor = </w:t>
            </w:r>
          </w:p>
          <w:p w14:paraId="2F37E2FF" w14:textId="77777777" w:rsidR="004C6C27" w:rsidRDefault="004C6C27" w:rsidP="002B2D37">
            <w:r>
              <w:t xml:space="preserve">    Average = </w:t>
            </w:r>
          </w:p>
          <w:p w14:paraId="005103D4" w14:textId="6056E188" w:rsidR="004C6C27" w:rsidRDefault="004C6C27" w:rsidP="002B2D37">
            <w:r>
              <w:t xml:space="preserve">    Target = </w:t>
            </w:r>
          </w:p>
          <w:p w14:paraId="6AF13592" w14:textId="77777777" w:rsidR="004C6C27" w:rsidRDefault="004C6C27" w:rsidP="002B2D37"/>
          <w:p w14:paraId="09EE134F" w14:textId="022F9707" w:rsidR="002B2D37" w:rsidRPr="00F51556" w:rsidRDefault="002B2D37" w:rsidP="002B2D37">
            <w:pPr>
              <w:rPr>
                <w:b/>
              </w:rPr>
            </w:pPr>
            <w:r w:rsidRPr="00F51556">
              <w:rPr>
                <w:b/>
              </w:rPr>
              <w:t>Rental (monthly)</w:t>
            </w:r>
          </w:p>
          <w:p w14:paraId="0D677D2B" w14:textId="68545A87" w:rsidR="002B2D37" w:rsidRDefault="002B2D37" w:rsidP="002B2D37">
            <w:r>
              <w:t xml:space="preserve">    Cost = Asset Value (user entered) * 1.065 / 12</w:t>
            </w:r>
          </w:p>
          <w:p w14:paraId="56398854" w14:textId="0F3D5264" w:rsidR="002B2D37" w:rsidRDefault="002B2D37" w:rsidP="002B2D37">
            <w:r>
              <w:t xml:space="preserve">    Floor = </w:t>
            </w:r>
            <w:r w:rsidR="004C6C27">
              <w:t xml:space="preserve">Revised </w:t>
            </w:r>
            <w:r>
              <w:t>Asset Value * (1 + floor return) / 12</w:t>
            </w:r>
          </w:p>
          <w:p w14:paraId="782FD0B5" w14:textId="3E8E8079" w:rsidR="002B2D37" w:rsidRDefault="002B2D37" w:rsidP="002B2D37">
            <w:r>
              <w:t xml:space="preserve">    Average = </w:t>
            </w:r>
            <w:r w:rsidR="004C6C27">
              <w:t xml:space="preserve">Revised </w:t>
            </w:r>
            <w:r>
              <w:t>Asset Value * (1 + average return) / 12</w:t>
            </w:r>
          </w:p>
          <w:p w14:paraId="5D66B9EC" w14:textId="4212DA7A" w:rsidR="002B2D37" w:rsidRDefault="002B2D37" w:rsidP="002B2D37">
            <w:r>
              <w:t xml:space="preserve">    Target = </w:t>
            </w:r>
            <w:r w:rsidR="00F51556">
              <w:t xml:space="preserve">Revised </w:t>
            </w:r>
            <w:r>
              <w:t>Asset Value * (1 + target return) / 12</w:t>
            </w:r>
          </w:p>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 xml:space="preserve">Unrecovered capital expense = </w:t>
            </w:r>
          </w:p>
          <w:p w14:paraId="263FCAEF" w14:textId="49872CE6" w:rsidR="00F51556" w:rsidRDefault="00F51556" w:rsidP="00CC61D5">
            <w:r>
              <w:t xml:space="preserve">  Installation Cost - Proposed Installation Price = 5,000</w:t>
            </w:r>
          </w:p>
          <w:p w14:paraId="2C5FD31A" w14:textId="77777777" w:rsidR="00F51556" w:rsidRDefault="00F51556" w:rsidP="00CC61D5"/>
          <w:p w14:paraId="733265C2" w14:textId="356764B2" w:rsidR="00F51556" w:rsidRDefault="00F51556" w:rsidP="00CC61D5">
            <w:r>
              <w:t xml:space="preserve">   Asset Value = 30,000</w:t>
            </w:r>
          </w:p>
          <w:p w14:paraId="0B872857" w14:textId="05C6C45A" w:rsidR="00F51556" w:rsidRDefault="00F51556" w:rsidP="00CC61D5">
            <w:r>
              <w:t>+ Unrecovered capital expense = 5,000</w:t>
            </w:r>
          </w:p>
          <w:p w14:paraId="37250EC6" w14:textId="52C2B37A" w:rsidR="00F51556" w:rsidRDefault="00F51556" w:rsidP="00CC61D5">
            <w:r>
              <w:t>= 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51E21BB7" w14:textId="297C6963" w:rsidR="002B2D37" w:rsidRDefault="002B2D37" w:rsidP="00CC61D5">
            <w:r>
              <w:t xml:space="preserve">    Cost = </w:t>
            </w:r>
            <w:r w:rsidR="00277E00">
              <w:t>0.00</w:t>
            </w:r>
          </w:p>
          <w:p w14:paraId="4F86889E" w14:textId="77777777" w:rsidR="002B2D37" w:rsidRDefault="002B2D37" w:rsidP="00CC61D5">
            <w:r>
              <w:t xml:space="preserve">    Floor = </w:t>
            </w:r>
          </w:p>
          <w:p w14:paraId="1EEC4325" w14:textId="77777777" w:rsidR="002B2D37" w:rsidRDefault="002B2D37" w:rsidP="00CC61D5">
            <w:r>
              <w:t xml:space="preserve">    Average = </w:t>
            </w:r>
          </w:p>
          <w:p w14:paraId="48BD4C43" w14:textId="77777777" w:rsidR="002B2D37" w:rsidRDefault="002B2D37" w:rsidP="00CC61D5">
            <w:r>
              <w:t xml:space="preserve">    Target = </w:t>
            </w:r>
          </w:p>
          <w:p w14:paraId="033A33A9" w14:textId="59831874" w:rsidR="00C5772A" w:rsidRPr="00CC61D5" w:rsidRDefault="00C5772A" w:rsidP="00CC61D5"/>
        </w:tc>
      </w:tr>
      <w:tr w:rsidR="00C5772A" w:rsidRPr="004D04DC" w14:paraId="5DA5DCDF"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t>Existing Containers</w:t>
            </w:r>
          </w:p>
        </w:tc>
        <w:tc>
          <w:tcPr>
            <w:tcW w:w="6053" w:type="dxa"/>
            <w:tcBorders>
              <w:top w:val="single" w:sz="4" w:space="0" w:color="auto"/>
              <w:left w:val="single" w:sz="4" w:space="0" w:color="auto"/>
              <w:bottom w:val="single" w:sz="4" w:space="0" w:color="auto"/>
              <w:right w:val="single" w:sz="4" w:space="0" w:color="auto"/>
            </w:tcBorders>
          </w:tcPr>
          <w:p w14:paraId="4572BC12" w14:textId="3EC3DD71" w:rsidR="00C5772A" w:rsidRPr="00C11917" w:rsidRDefault="00C11917" w:rsidP="00CC61D5">
            <w:r>
              <w:t>Compactor asset values are unknown for existing customers, so default to parts table asset values.</w:t>
            </w:r>
            <w:r w:rsidR="00BA5EAC">
              <w:t xml:space="preserve">  New </w:t>
            </w:r>
            <w:proofErr w:type="spellStart"/>
            <w:r w:rsidR="00BA5EAC">
              <w:t>editiable</w:t>
            </w:r>
            <w:proofErr w:type="spellEnd"/>
            <w:r w:rsidR="00BA5EAC">
              <w:t xml:space="preserve"> field will be created on existing container configuration screen.</w:t>
            </w:r>
          </w:p>
        </w:tc>
      </w:tr>
      <w:tr w:rsidR="002A6733" w:rsidRPr="004D04DC" w14:paraId="00B92D7E"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053"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r w:rsidR="00E0544D" w:rsidRPr="004D04DC" w14:paraId="5F5996B3"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4D088FD2" w14:textId="77777777" w:rsidR="0071590F" w:rsidRPr="006F6DF6" w:rsidRDefault="0071590F" w:rsidP="0071590F">
            <w:pPr>
              <w:pStyle w:val="ListParagraph"/>
              <w:numPr>
                <w:ilvl w:val="0"/>
                <w:numId w:val="5"/>
              </w:numPr>
              <w:ind w:left="0" w:firstLine="0"/>
            </w:pPr>
          </w:p>
          <w:p w14:paraId="33404B80" w14:textId="6C2E0A60" w:rsidR="00E0544D" w:rsidRPr="006F6DF6" w:rsidRDefault="0071590F" w:rsidP="0071590F">
            <w:pPr>
              <w:pStyle w:val="ListParagraph"/>
              <w:ind w:left="0"/>
            </w:pPr>
            <w:r w:rsidRPr="006F6DF6">
              <w:rPr>
                <w:rFonts w:ascii="Calibri" w:hAnsi="Calibri"/>
              </w:rPr>
              <w:t xml:space="preserve">Delivery charges are </w:t>
            </w:r>
            <w:r w:rsidR="00E0544D" w:rsidRPr="006F6DF6">
              <w:rPr>
                <w:rFonts w:ascii="Calibri" w:hAnsi="Calibri"/>
              </w:rPr>
              <w:t>in order of precedence (for large and small container both):</w:t>
            </w:r>
          </w:p>
        </w:tc>
        <w:tc>
          <w:tcPr>
            <w:tcW w:w="6053" w:type="dxa"/>
            <w:tcBorders>
              <w:top w:val="single" w:sz="4" w:space="0" w:color="auto"/>
              <w:left w:val="single" w:sz="4" w:space="0" w:color="auto"/>
              <w:bottom w:val="single" w:sz="4" w:space="0" w:color="auto"/>
              <w:right w:val="single" w:sz="4" w:space="0" w:color="auto"/>
            </w:tcBorders>
          </w:tcPr>
          <w:p w14:paraId="000D858F" w14:textId="5C824547" w:rsidR="0071590F" w:rsidRPr="006F6DF6" w:rsidRDefault="0071590F" w:rsidP="0071590F">
            <w:pPr>
              <w:pStyle w:val="ListParagraph"/>
              <w:numPr>
                <w:ilvl w:val="0"/>
                <w:numId w:val="36"/>
              </w:numPr>
              <w:ind w:left="270" w:hanging="270"/>
            </w:pPr>
            <w:r w:rsidRPr="006F6DF6">
              <w:rPr>
                <w:rFonts w:ascii="Calibri" w:hAnsi="Calibri"/>
              </w:rPr>
              <w:t xml:space="preserve">Existing customer (small only right now): </w:t>
            </w:r>
            <w:proofErr w:type="spellStart"/>
            <w:r w:rsidRPr="006F6DF6">
              <w:rPr>
                <w:rFonts w:ascii="Calibri" w:hAnsi="Calibri"/>
              </w:rPr>
              <w:t>account_rates</w:t>
            </w:r>
            <w:proofErr w:type="spellEnd"/>
            <w:r w:rsidRPr="006F6DF6">
              <w:rPr>
                <w:rFonts w:ascii="Calibri" w:hAnsi="Calibri"/>
              </w:rPr>
              <w:t xml:space="preserve"> (DEL)</w:t>
            </w:r>
          </w:p>
          <w:p w14:paraId="21C95FC5"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in that division</w:t>
            </w:r>
          </w:p>
          <w:p w14:paraId="456BD179"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that division</w:t>
            </w:r>
          </w:p>
          <w:p w14:paraId="74E8EE8D"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for division zero</w:t>
            </w:r>
          </w:p>
          <w:p w14:paraId="5858EC81" w14:textId="77777777" w:rsidR="00E0544D"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division zero</w:t>
            </w:r>
          </w:p>
          <w:p w14:paraId="4080D5D9" w14:textId="77777777" w:rsidR="0071590F" w:rsidRPr="006F6DF6" w:rsidRDefault="0071590F" w:rsidP="0071590F">
            <w:pPr>
              <w:rPr>
                <w:rFonts w:ascii="Calibri" w:hAnsi="Calibri"/>
              </w:rPr>
            </w:pPr>
          </w:p>
          <w:p w14:paraId="5CA0FC55" w14:textId="0CA89468" w:rsidR="0071590F" w:rsidRPr="00E0544D" w:rsidRDefault="0071590F" w:rsidP="0071590F">
            <w:r w:rsidRPr="00E0544D">
              <w:rPr>
                <w:rFonts w:ascii="Calibri" w:hAnsi="Calibri"/>
              </w:rPr>
              <w:t>Cost is filled in by formula for large container temporary accounts at half the haul rate; otherwise it shows up as zero.</w:t>
            </w:r>
          </w:p>
          <w:p w14:paraId="449D3DD3" w14:textId="7785FDA6" w:rsidR="0071590F" w:rsidRPr="006F6DF6" w:rsidRDefault="0071590F" w:rsidP="0071590F">
            <w:r w:rsidRPr="006F6DF6">
              <w:rPr>
                <w:rFonts w:ascii="Calibri" w:hAnsi="Calibri"/>
              </w:rPr>
              <w:t>*</w:t>
            </w:r>
            <w:r w:rsidRPr="00E0544D">
              <w:rPr>
                <w:rFonts w:ascii="Calibri" w:hAnsi="Calibri"/>
              </w:rPr>
              <w:t>Note that rates on delivery *</w:t>
            </w:r>
            <w:r w:rsidRPr="00E0544D">
              <w:rPr>
                <w:rFonts w:ascii="Calibri" w:hAnsi="Calibri"/>
                <w:b/>
                <w:bCs/>
              </w:rPr>
              <w:t>should not</w:t>
            </w:r>
            <w:r w:rsidRPr="00E0544D">
              <w:rPr>
                <w:rFonts w:ascii="Calibri" w:hAnsi="Calibri"/>
              </w:rPr>
              <w:t xml:space="preserve">* be hard-coded.  </w:t>
            </w:r>
          </w:p>
        </w:tc>
      </w:tr>
    </w:tbl>
    <w:p w14:paraId="590CE5EB" w14:textId="77777777" w:rsidR="00F90955" w:rsidRDefault="00F90955" w:rsidP="00F90955">
      <w:pPr>
        <w:pStyle w:val="BodyText"/>
      </w:pPr>
    </w:p>
    <w:p w14:paraId="6C817B37" w14:textId="77777777" w:rsidR="00C03F13" w:rsidRDefault="00C03F13">
      <w:bookmarkStart w:id="19" w:name="_Toc379450809"/>
      <w:r>
        <w:br w:type="page"/>
      </w:r>
    </w:p>
    <w:p w14:paraId="4F1CBD28" w14:textId="6BBDD42C" w:rsidR="00CB033E" w:rsidRDefault="00CB033E" w:rsidP="00CB033E">
      <w:pPr>
        <w:pStyle w:val="Heading1"/>
      </w:pPr>
      <w:bookmarkStart w:id="20" w:name="_Toc402689146"/>
      <w:r>
        <w:lastRenderedPageBreak/>
        <w:t>Assumptions</w:t>
      </w:r>
      <w:bookmarkEnd w:id="19"/>
      <w:bookmarkEnd w:id="20"/>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7619AC" w:rsidRDefault="004C6C27" w:rsidP="00093391">
      <w:pPr>
        <w:pStyle w:val="ListParagraph"/>
        <w:numPr>
          <w:ilvl w:val="0"/>
          <w:numId w:val="20"/>
        </w:numPr>
        <w:ind w:left="720"/>
      </w:pPr>
      <w:r w:rsidRPr="007619AC">
        <w:t>There are no expected impacts on Large Container.</w:t>
      </w:r>
    </w:p>
    <w:p w14:paraId="0DDC47F0" w14:textId="635E0C9F" w:rsidR="004C6C27" w:rsidRPr="007619AC" w:rsidRDefault="004C6C27" w:rsidP="00093391">
      <w:pPr>
        <w:pStyle w:val="ListParagraph"/>
        <w:numPr>
          <w:ilvl w:val="0"/>
          <w:numId w:val="20"/>
        </w:numPr>
        <w:ind w:left="720"/>
      </w:pPr>
      <w:r w:rsidRPr="007619AC">
        <w:t xml:space="preserve">If the Small </w:t>
      </w:r>
      <w:proofErr w:type="spellStart"/>
      <w:r w:rsidRPr="007619AC">
        <w:t>Conatiner</w:t>
      </w:r>
      <w:proofErr w:type="spellEnd"/>
      <w:r w:rsidRPr="007619AC">
        <w:t xml:space="preserve"> Compactor installation logic is created to revise the asset value based on a proposed installation price that is below cost, then Large Container Compactor logic </w:t>
      </w:r>
      <w:r w:rsidR="00C11917" w:rsidRPr="007619AC">
        <w:t xml:space="preserve">should </w:t>
      </w:r>
      <w:r w:rsidRPr="007619AC">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1" w:name="_Toc402689147"/>
      <w:r>
        <w:lastRenderedPageBreak/>
        <w:t>Technical Design</w:t>
      </w:r>
      <w:bookmarkEnd w:id="21"/>
    </w:p>
    <w:p w14:paraId="3CA00804" w14:textId="77777777" w:rsidR="00A159AB" w:rsidRDefault="00A159AB" w:rsidP="00A159AB">
      <w:pPr>
        <w:pStyle w:val="Heading2"/>
        <w:jc w:val="both"/>
      </w:pPr>
      <w:bookmarkStart w:id="22" w:name="_Toc402689148"/>
      <w:r>
        <w:t>Referenced Documents</w:t>
      </w:r>
      <w:bookmarkEnd w:id="22"/>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3" w:name="_Toc402689149"/>
      <w:r>
        <w:t>Process Flow and Mock Ups</w:t>
      </w:r>
      <w:bookmarkEnd w:id="23"/>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r>
        <w:t xml:space="preserve">An example of the current line item grid for new/new business.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2F0478" w:rsidRPr="002F0478" w:rsidRDefault="002F0478" w:rsidP="002F0478">
                            <w:pPr>
                              <w:rPr>
                                <w:color w:val="FF0000"/>
                              </w:rPr>
                            </w:pPr>
                            <w:r>
                              <w:rPr>
                                <w:color w:val="FF0000"/>
                              </w:rPr>
                              <w:t xml:space="preserve">Add </w:t>
                            </w:r>
                            <w:bookmarkStart w:id="24" w:name="_GoBack"/>
                            <w:r>
                              <w:rPr>
                                <w:color w:val="FF0000"/>
                              </w:rPr>
                              <w:t>one time</w:t>
                            </w:r>
                            <w:bookmarkEnd w:id="24"/>
                            <w:r>
                              <w:rPr>
                                <w:color w:val="FF0000"/>
                              </w:rPr>
                              <w:t xml:space="preserv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3A53"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2F0478" w:rsidRPr="002F0478" w:rsidRDefault="002F0478">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4837"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2F0478" w:rsidRPr="002F0478" w:rsidRDefault="002F0478">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9F"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AC1"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BA5EAC" w:rsidRDefault="00BA5EAC" w:rsidP="00BA5EAC">
                      <w:pPr>
                        <w:rPr>
                          <w:color w:val="FF0000"/>
                        </w:rPr>
                      </w:pPr>
                      <w:r>
                        <w:rPr>
                          <w:color w:val="FF0000"/>
                        </w:rPr>
                        <w:t>Add “A</w:t>
                      </w:r>
                      <w:r>
                        <w:rPr>
                          <w:color w:val="FF0000"/>
                        </w:rPr>
                        <w:t xml:space="preserve">sset </w:t>
                      </w:r>
                      <w:r>
                        <w:rPr>
                          <w:color w:val="FF0000"/>
                        </w:rPr>
                        <w:t>V</w:t>
                      </w:r>
                      <w:r>
                        <w:rPr>
                          <w:color w:val="FF0000"/>
                        </w:rPr>
                        <w:t>alue</w:t>
                      </w:r>
                      <w:r>
                        <w:rPr>
                          <w:color w:val="FF0000"/>
                        </w:rPr>
                        <w:t>” field here.</w:t>
                      </w:r>
                    </w:p>
                    <w:p w14:paraId="3B5682EA" w14:textId="77777777" w:rsidR="00BA5EAC" w:rsidRPr="002F0478" w:rsidRDefault="00BA5EAC"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5" w:name="_Toc402689150"/>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02689151"/>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5"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02689152"/>
      <w:proofErr w:type="spellStart"/>
      <w:r>
        <w:t>InfoPro</w:t>
      </w:r>
      <w:proofErr w:type="spellEnd"/>
      <w:r>
        <w:t xml:space="preserve"> </w:t>
      </w:r>
      <w:r w:rsidR="00A910C9">
        <w:t>Interface</w:t>
      </w:r>
      <w:bookmarkEnd w:id="27"/>
    </w:p>
    <w:p w14:paraId="071CB1A0" w14:textId="4C62ABC1" w:rsidR="00C03F13" w:rsidRDefault="007619AC" w:rsidP="007619AC">
      <w:pPr>
        <w:pStyle w:val="BodyText"/>
        <w:ind w:firstLine="432"/>
      </w:pPr>
      <w:r w:rsidRPr="007619AC">
        <w:rPr>
          <w:highlight w:val="yellow"/>
        </w:rPr>
        <w:t xml:space="preserve">There will likely be </w:t>
      </w:r>
      <w:proofErr w:type="spellStart"/>
      <w:r w:rsidRPr="007619AC">
        <w:rPr>
          <w:highlight w:val="yellow"/>
        </w:rPr>
        <w:t>additiona</w:t>
      </w:r>
      <w:proofErr w:type="spellEnd"/>
      <w:r w:rsidRPr="007619AC">
        <w:rPr>
          <w:highlight w:val="yellow"/>
        </w:rPr>
        <w:t xml:space="preserve"> fields that are passed to the AAE interface.</w:t>
      </w: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02689153"/>
      <w:r>
        <w:t>Report Changes</w:t>
      </w:r>
      <w:bookmarkEnd w:id="28"/>
    </w:p>
    <w:p w14:paraId="3BB1FF1E" w14:textId="6B729D3C" w:rsidR="00C03F13" w:rsidRPr="007619AC" w:rsidRDefault="00050320" w:rsidP="007619AC">
      <w:pPr>
        <w:pStyle w:val="BodyText"/>
      </w:pPr>
      <w:r>
        <w:t>No Changes</w:t>
      </w:r>
    </w:p>
    <w:p w14:paraId="3CA008B4" w14:textId="5D000873" w:rsidR="00A910C9" w:rsidRDefault="00A910C9" w:rsidP="00A910C9">
      <w:pPr>
        <w:pStyle w:val="Heading1"/>
        <w:jc w:val="both"/>
      </w:pPr>
      <w:bookmarkStart w:id="29" w:name="_Toc402689167"/>
      <w:r>
        <w:t>Appendix</w:t>
      </w:r>
      <w:bookmarkEnd w:id="29"/>
      <w:r>
        <w:t xml:space="preserve"> </w:t>
      </w:r>
    </w:p>
    <w:bookmarkEnd w:id="15"/>
    <w:bookmarkEnd w:id="16"/>
    <w:bookmarkEnd w:id="17"/>
    <w:p w14:paraId="3CA008B5" w14:textId="4441B1CE" w:rsidR="00A910C9" w:rsidRDefault="00A910C9" w:rsidP="00A910C9">
      <w:pPr>
        <w:jc w:val="both"/>
      </w:pPr>
    </w:p>
    <w:sectPr w:rsidR="00A910C9" w:rsidSect="008313A9">
      <w:headerReference w:type="default" r:id="rId16"/>
      <w:footerReference w:type="default" r:id="rId17"/>
      <w:headerReference w:type="first" r:id="rId18"/>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BA51E" w14:textId="77777777" w:rsidR="009346E2" w:rsidRDefault="009346E2">
      <w:r>
        <w:separator/>
      </w:r>
    </w:p>
  </w:endnote>
  <w:endnote w:type="continuationSeparator" w:id="0">
    <w:p w14:paraId="5FA54E01" w14:textId="77777777" w:rsidR="009346E2" w:rsidRDefault="009346E2">
      <w:r>
        <w:continuationSeparator/>
      </w:r>
    </w:p>
  </w:endnote>
  <w:endnote w:type="continuationNotice" w:id="1">
    <w:p w14:paraId="32590416" w14:textId="77777777" w:rsidR="009346E2" w:rsidRDefault="00934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27AF75ED" w:rsidR="00E50C89" w:rsidRPr="00C03F13" w:rsidRDefault="009346E2"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E34C16">
      <w:rPr>
        <w:rFonts w:asciiTheme="minorHAnsi" w:hAnsiTheme="minorHAnsi"/>
        <w:noProof/>
      </w:rPr>
      <w:t>February 5, 2015</w:t>
    </w:r>
    <w:r w:rsidR="00C03F13" w:rsidRPr="00C03F13">
      <w:rPr>
        <w:rFonts w:asciiTheme="minorHAnsi" w:hAnsiTheme="minorHAnsi"/>
      </w:rPr>
      <w:fldChar w:fldCharType="end"/>
    </w:r>
    <w:r w:rsidR="00E50C89" w:rsidRPr="00C03F13">
      <w:rPr>
        <w:rFonts w:asciiTheme="minorHAnsi" w:hAnsiTheme="minorHAnsi"/>
      </w:rPr>
      <w:tab/>
      <w:t xml:space="preserve">Page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E34C16">
      <w:rPr>
        <w:rFonts w:asciiTheme="minorHAnsi" w:hAnsiTheme="minorHAnsi"/>
        <w:noProof/>
      </w:rPr>
      <w:t>11</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10F72" w14:textId="77777777" w:rsidR="009346E2" w:rsidRDefault="009346E2">
      <w:r>
        <w:separator/>
      </w:r>
    </w:p>
  </w:footnote>
  <w:footnote w:type="continuationSeparator" w:id="0">
    <w:p w14:paraId="6BF736AD" w14:textId="77777777" w:rsidR="009346E2" w:rsidRDefault="009346E2">
      <w:r>
        <w:continuationSeparator/>
      </w:r>
    </w:p>
  </w:footnote>
  <w:footnote w:type="continuationNotice" w:id="1">
    <w:p w14:paraId="4F97D7A5" w14:textId="77777777" w:rsidR="009346E2" w:rsidRDefault="009346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7">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4"/>
  </w:num>
  <w:num w:numId="4">
    <w:abstractNumId w:val="13"/>
  </w:num>
  <w:num w:numId="5">
    <w:abstractNumId w:val="24"/>
  </w:num>
  <w:num w:numId="6">
    <w:abstractNumId w:val="28"/>
  </w:num>
  <w:num w:numId="7">
    <w:abstractNumId w:val="26"/>
  </w:num>
  <w:num w:numId="8">
    <w:abstractNumId w:val="29"/>
  </w:num>
  <w:num w:numId="9">
    <w:abstractNumId w:val="13"/>
    <w:lvlOverride w:ilvl="0">
      <w:startOverride w:val="3"/>
    </w:lvlOverride>
    <w:lvlOverride w:ilvl="1">
      <w:startOverride w:val="3"/>
    </w:lvlOverride>
    <w:lvlOverride w:ilvl="2">
      <w:startOverride w:val="1"/>
    </w:lvlOverride>
    <w:lvlOverride w:ilvl="3">
      <w:startOverride w:val="2"/>
    </w:lvlOverride>
  </w:num>
  <w:num w:numId="10">
    <w:abstractNumId w:val="13"/>
  </w:num>
  <w:num w:numId="11">
    <w:abstractNumId w:val="13"/>
    <w:lvlOverride w:ilvl="0">
      <w:startOverride w:val="3"/>
    </w:lvlOverride>
    <w:lvlOverride w:ilvl="1">
      <w:startOverride w:val="3"/>
    </w:lvlOverride>
    <w:lvlOverride w:ilvl="2">
      <w:startOverride w:val="2"/>
    </w:lvlOverride>
    <w:lvlOverride w:ilvl="3">
      <w:startOverride w:val="2"/>
    </w:lvlOverride>
  </w:num>
  <w:num w:numId="12">
    <w:abstractNumId w:val="13"/>
    <w:lvlOverride w:ilvl="0">
      <w:startOverride w:val="3"/>
    </w:lvlOverride>
    <w:lvlOverride w:ilvl="1">
      <w:startOverride w:val="3"/>
    </w:lvlOverride>
    <w:lvlOverride w:ilvl="2">
      <w:startOverride w:val="3"/>
    </w:lvlOverride>
    <w:lvlOverride w:ilvl="3">
      <w:startOverride w:val="2"/>
    </w:lvlOverride>
  </w:num>
  <w:num w:numId="13">
    <w:abstractNumId w:val="10"/>
  </w:num>
  <w:num w:numId="14">
    <w:abstractNumId w:val="4"/>
  </w:num>
  <w:num w:numId="15">
    <w:abstractNumId w:val="2"/>
  </w:num>
  <w:num w:numId="16">
    <w:abstractNumId w:val="19"/>
  </w:num>
  <w:num w:numId="17">
    <w:abstractNumId w:val="9"/>
  </w:num>
  <w:num w:numId="18">
    <w:abstractNumId w:val="17"/>
  </w:num>
  <w:num w:numId="19">
    <w:abstractNumId w:val="20"/>
  </w:num>
  <w:num w:numId="20">
    <w:abstractNumId w:val="23"/>
  </w:num>
  <w:num w:numId="21">
    <w:abstractNumId w:val="18"/>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7"/>
  </w:num>
  <w:num w:numId="28">
    <w:abstractNumId w:val="0"/>
  </w:num>
  <w:num w:numId="29">
    <w:abstractNumId w:val="11"/>
  </w:num>
  <w:num w:numId="30">
    <w:abstractNumId w:val="12"/>
  </w:num>
  <w:num w:numId="31">
    <w:abstractNumId w:val="25"/>
  </w:num>
  <w:num w:numId="32">
    <w:abstractNumId w:val="27"/>
  </w:num>
  <w:num w:numId="33">
    <w:abstractNumId w:val="15"/>
  </w:num>
  <w:num w:numId="34">
    <w:abstractNumId w:val="22"/>
  </w:num>
  <w:num w:numId="35">
    <w:abstractNumId w:val="3"/>
  </w:num>
  <w:num w:numId="3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4B6C"/>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305430"/>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590F"/>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19AC"/>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7F2153"/>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03B"/>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46E2"/>
    <w:rsid w:val="00935A76"/>
    <w:rsid w:val="0094025D"/>
    <w:rsid w:val="00940BE8"/>
    <w:rsid w:val="00941040"/>
    <w:rsid w:val="00941795"/>
    <w:rsid w:val="00950A76"/>
    <w:rsid w:val="00957490"/>
    <w:rsid w:val="00957D88"/>
    <w:rsid w:val="0096445E"/>
    <w:rsid w:val="00964FC8"/>
    <w:rsid w:val="009801F1"/>
    <w:rsid w:val="00983BB8"/>
    <w:rsid w:val="00993DC4"/>
    <w:rsid w:val="00993F08"/>
    <w:rsid w:val="00994148"/>
    <w:rsid w:val="0099725D"/>
    <w:rsid w:val="009A137E"/>
    <w:rsid w:val="009A1D52"/>
    <w:rsid w:val="009A243A"/>
    <w:rsid w:val="009A5517"/>
    <w:rsid w:val="009A5FF9"/>
    <w:rsid w:val="009B2D74"/>
    <w:rsid w:val="009B7235"/>
    <w:rsid w:val="009C193D"/>
    <w:rsid w:val="009C40B0"/>
    <w:rsid w:val="009D4930"/>
    <w:rsid w:val="009D730D"/>
    <w:rsid w:val="009F0457"/>
    <w:rsid w:val="009F329D"/>
    <w:rsid w:val="009F5D21"/>
    <w:rsid w:val="009F6500"/>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771AA"/>
    <w:rsid w:val="00A86B5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06C3"/>
    <w:rsid w:val="00C03F13"/>
    <w:rsid w:val="00C11917"/>
    <w:rsid w:val="00C16C66"/>
    <w:rsid w:val="00C20E8B"/>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75B5"/>
    <w:rsid w:val="00DF140A"/>
    <w:rsid w:val="00DF2A7E"/>
    <w:rsid w:val="00DF327E"/>
    <w:rsid w:val="00DF734C"/>
    <w:rsid w:val="00E0092F"/>
    <w:rsid w:val="00E01BC9"/>
    <w:rsid w:val="00E04380"/>
    <w:rsid w:val="00E04C8F"/>
    <w:rsid w:val="00E0544D"/>
    <w:rsid w:val="00E074F7"/>
    <w:rsid w:val="00E07BD2"/>
    <w:rsid w:val="00E124A2"/>
    <w:rsid w:val="00E15CE5"/>
    <w:rsid w:val="00E1613C"/>
    <w:rsid w:val="00E22D33"/>
    <w:rsid w:val="00E27988"/>
    <w:rsid w:val="00E305F7"/>
    <w:rsid w:val="00E346A3"/>
    <w:rsid w:val="00E34C16"/>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0E95EB6-ACB5-41B0-8658-B7E17889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Roger Behm</cp:lastModifiedBy>
  <cp:revision>8</cp:revision>
  <cp:lastPrinted>2012-12-07T17:42:00Z</cp:lastPrinted>
  <dcterms:created xsi:type="dcterms:W3CDTF">2014-12-10T20:44:00Z</dcterms:created>
  <dcterms:modified xsi:type="dcterms:W3CDTF">2015-02-06T17:53:00Z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