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5CBE" w:rsidRDefault="004873B5">
      <w:pPr>
        <w:spacing w:before="1800"/>
        <w:jc w:val="center"/>
      </w:pPr>
      <w:r>
        <w:t>SmartCXR: GRADUATION PROJECT FINAL DOCUMENTATION</w:t>
      </w:r>
    </w:p>
    <w:p w:rsidR="00A45CBE" w:rsidRDefault="00A45CBE"/>
    <w:tbl>
      <w:tblPr>
        <w:tblW w:w="0" w:type="auto"/>
        <w:jc w:val="center"/>
        <w:tblLayout w:type="fixed"/>
        <w:tblLook w:val="04A0" w:firstRow="1" w:lastRow="0" w:firstColumn="1" w:lastColumn="0" w:noHBand="0" w:noVBand="1"/>
      </w:tblPr>
      <w:tblGrid>
        <w:gridCol w:w="3024"/>
        <w:gridCol w:w="6624"/>
      </w:tblGrid>
      <w:tr w:rsidR="00A45CBE">
        <w:trPr>
          <w:jc w:val="center"/>
        </w:trPr>
        <w:tc>
          <w:tcPr>
            <w:tcW w:w="3024" w:type="dxa"/>
            <w:shd w:val="clear" w:color="auto" w:fill="EAF0F7"/>
            <w:tcMar>
              <w:top w:w="120" w:type="dxa"/>
              <w:left w:w="130" w:type="dxa"/>
              <w:bottom w:w="120" w:type="dxa"/>
              <w:right w:w="130" w:type="dxa"/>
            </w:tcMar>
            <w:vAlign w:val="center"/>
          </w:tcPr>
          <w:p w:rsidR="00A45CBE" w:rsidRDefault="004873B5">
            <w:pPr>
              <w:spacing w:after="0"/>
            </w:pPr>
            <w:r>
              <w:rPr>
                <w:b/>
                <w:color w:val="1E375A"/>
              </w:rPr>
              <w:t>Program</w:t>
            </w:r>
          </w:p>
        </w:tc>
        <w:tc>
          <w:tcPr>
            <w:tcW w:w="6624" w:type="dxa"/>
            <w:tcMar>
              <w:top w:w="120" w:type="dxa"/>
              <w:left w:w="130" w:type="dxa"/>
              <w:bottom w:w="120" w:type="dxa"/>
              <w:right w:w="130" w:type="dxa"/>
            </w:tcMar>
            <w:vAlign w:val="center"/>
          </w:tcPr>
          <w:p>
            <w:r>
              <w:rPr>
                <w:rFonts w:ascii="Calibri" w:hAnsi="Calibri"/>
                <w:color w:val="222222"/>
                <w:sz w:val="22"/>
              </w:rPr>
              <w:t>Bachelor of Science in Computer Science / Artificial Intelligence</w:t>
            </w:r>
          </w:p>
        </w:tc>
      </w:tr>
      <w:tr w:rsidR="00A45CBE">
        <w:trPr>
          <w:jc w:val="center"/>
        </w:trPr>
        <w:tc>
          <w:tcPr>
            <w:tcW w:w="3024" w:type="dxa"/>
            <w:shd w:val="clear" w:color="auto" w:fill="EAF0F7"/>
            <w:tcMar>
              <w:top w:w="120" w:type="dxa"/>
              <w:left w:w="130" w:type="dxa"/>
              <w:bottom w:w="120" w:type="dxa"/>
              <w:right w:w="130" w:type="dxa"/>
            </w:tcMar>
            <w:vAlign w:val="center"/>
          </w:tcPr>
          <w:p w:rsidR="00A45CBE" w:rsidRDefault="004873B5">
            <w:pPr>
              <w:spacing w:after="0"/>
            </w:pPr>
            <w:r>
              <w:rPr>
                <w:b/>
                <w:color w:val="1E375A"/>
              </w:rPr>
              <w:t>Project Title</w:t>
            </w:r>
          </w:p>
        </w:tc>
        <w:tc>
          <w:tcPr>
            <w:tcW w:w="6624" w:type="dxa"/>
            <w:tcMar>
              <w:top w:w="120" w:type="dxa"/>
              <w:left w:w="130" w:type="dxa"/>
              <w:bottom w:w="120" w:type="dxa"/>
              <w:right w:w="130" w:type="dxa"/>
            </w:tcMar>
            <w:vAlign w:val="center"/>
          </w:tcPr>
          <w:p>
            <w:r>
              <w:rPr>
                <w:rFonts w:ascii="Calibri" w:hAnsi="Calibri"/>
                <w:color w:val="222222"/>
                <w:sz w:val="22"/>
              </w:rPr>
              <w:t>State-of-the-Art Multi-Label Chest X-Ray Classification Using Deep Learning</w:t>
              <w:br/>
              <w:t>(Surpassing Stanford CheXNet on NIH ChestX-ray14 — 85.24% AUC)</w:t>
            </w:r>
          </w:p>
        </w:tc>
      </w:tr>
      <w:tr w:rsidR="00A45CBE">
        <w:trPr>
          <w:jc w:val="center"/>
        </w:trPr>
        <w:tc>
          <w:tcPr>
            <w:tcW w:w="3024" w:type="dxa"/>
            <w:shd w:val="clear" w:color="auto" w:fill="EAF0F7"/>
            <w:tcMar>
              <w:top w:w="120" w:type="dxa"/>
              <w:left w:w="130" w:type="dxa"/>
              <w:bottom w:w="120" w:type="dxa"/>
              <w:right w:w="130" w:type="dxa"/>
            </w:tcMar>
            <w:vAlign w:val="center"/>
          </w:tcPr>
          <w:p w:rsidR="00A45CBE" w:rsidRDefault="004873B5">
            <w:pPr>
              <w:spacing w:after="0"/>
            </w:pPr>
            <w:r>
              <w:rPr>
                <w:b/>
                <w:color w:val="1E375A"/>
              </w:rPr>
              <w:t>Student Name(s) &amp; ID(s)</w:t>
            </w:r>
          </w:p>
        </w:tc>
        <w:tc>
          <w:tcPr>
            <w:tcW w:w="6624" w:type="dxa"/>
            <w:tcMar>
              <w:top w:w="120" w:type="dxa"/>
              <w:left w:w="130" w:type="dxa"/>
              <w:bottom w:w="120" w:type="dxa"/>
              <w:right w:w="130" w:type="dxa"/>
            </w:tcMar>
            <w:vAlign w:val="center"/>
          </w:tcPr>
          <w:p>
            <w:r>
              <w:rPr>
                <w:rFonts w:ascii="Calibri" w:hAnsi="Calibri"/>
                <w:color w:val="222222"/>
                <w:sz w:val="22"/>
              </w:rPr>
              <w:t>Mark Egyptian — Student ID: markegyptian55</w:t>
            </w:r>
          </w:p>
        </w:tc>
      </w:tr>
      <w:tr w:rsidR="00A45CBE">
        <w:trPr>
          <w:jc w:val="center"/>
        </w:trPr>
        <w:tc>
          <w:tcPr>
            <w:tcW w:w="3024" w:type="dxa"/>
            <w:shd w:val="clear" w:color="auto" w:fill="EAF0F7"/>
            <w:tcMar>
              <w:top w:w="120" w:type="dxa"/>
              <w:left w:w="130" w:type="dxa"/>
              <w:bottom w:w="120" w:type="dxa"/>
              <w:right w:w="130" w:type="dxa"/>
            </w:tcMar>
            <w:vAlign w:val="center"/>
          </w:tcPr>
          <w:p w:rsidR="00A45CBE" w:rsidRDefault="004873B5">
            <w:pPr>
              <w:spacing w:after="0"/>
            </w:pPr>
            <w:r>
              <w:rPr>
                <w:b/>
                <w:color w:val="1E375A"/>
              </w:rPr>
              <w:t>Supervisor</w:t>
            </w:r>
          </w:p>
        </w:tc>
        <w:tc>
          <w:tcPr>
            <w:tcW w:w="6624" w:type="dxa"/>
            <w:tcMar>
              <w:top w:w="120" w:type="dxa"/>
              <w:left w:w="130" w:type="dxa"/>
              <w:bottom w:w="120" w:type="dxa"/>
              <w:right w:w="130" w:type="dxa"/>
            </w:tcMar>
            <w:vAlign w:val="center"/>
          </w:tcPr>
          <w:p>
            <w:r>
              <w:rPr>
                <w:rFonts w:ascii="Calibri" w:hAnsi="Calibri"/>
                <w:color w:val="222222"/>
                <w:sz w:val="22"/>
              </w:rPr>
              <w:t>[Supervisor Name and Title / Department of Computer Science]</w:t>
            </w:r>
          </w:p>
        </w:tc>
      </w:tr>
      <w:tr w:rsidR="00A45CBE">
        <w:trPr>
          <w:jc w:val="center"/>
        </w:trPr>
        <w:tc>
          <w:tcPr>
            <w:tcW w:w="3024" w:type="dxa"/>
            <w:shd w:val="clear" w:color="auto" w:fill="EAF0F7"/>
            <w:tcMar>
              <w:top w:w="120" w:type="dxa"/>
              <w:left w:w="130" w:type="dxa"/>
              <w:bottom w:w="120" w:type="dxa"/>
              <w:right w:w="130" w:type="dxa"/>
            </w:tcMar>
            <w:vAlign w:val="center"/>
          </w:tcPr>
          <w:p w:rsidR="00A45CBE" w:rsidRDefault="004873B5">
            <w:pPr>
              <w:spacing w:after="0"/>
            </w:pPr>
            <w:r>
              <w:rPr>
                <w:b/>
                <w:color w:val="1E375A"/>
              </w:rPr>
              <w:t>Submission Date</w:t>
            </w:r>
          </w:p>
        </w:tc>
        <w:tc>
          <w:tcPr>
            <w:tcW w:w="6624" w:type="dxa"/>
            <w:tcMar>
              <w:top w:w="120" w:type="dxa"/>
              <w:left w:w="130" w:type="dxa"/>
              <w:bottom w:w="120" w:type="dxa"/>
              <w:right w:w="130" w:type="dxa"/>
            </w:tcMar>
            <w:vAlign w:val="center"/>
          </w:tcPr>
          <w:p>
            <w:r>
              <w:rPr>
                <w:rFonts w:ascii="Calibri" w:hAnsi="Calibri"/>
                <w:color w:val="222222"/>
                <w:sz w:val="22"/>
              </w:rPr>
              <w:t>July 28, 2026</w:t>
            </w:r>
          </w:p>
        </w:tc>
      </w:tr>
    </w:tbl>
    <w:p w:rsidR="00A45CBE" w:rsidRDefault="00A45CBE"/>
    <w:p w:rsidR="00A45CBE" w:rsidRDefault="004873B5">
      <w:pPr>
        <w:jc w:val="center"/>
      </w:pPr>
      <w:r>
        <w:t>Prepared in fulfillment of the requirements for the graduation project.</w:t>
      </w:r>
    </w:p>
    <w:p w:rsidR="00A45CBE" w:rsidRDefault="004873B5">
      <w:r>
        <w:br w:type="page"/>
      </w:r>
    </w:p>
    <w:p w:rsidR="00A45CBE" w:rsidRDefault="004873B5">
      <w:pPr>
        <w:pStyle w:val="Heading1"/>
      </w:pPr>
      <w:r>
        <w:lastRenderedPageBreak/>
        <w:t>1. Abstract</w:t>
      </w:r>
    </w:p>
    <w:tbl>
      <w:tblPr>
        <w:tblW w:w="0" w:type="auto"/>
        <w:jc w:val="center"/>
        <w:tblLayout w:type="fixed"/>
        <w:tblLook w:val="04A0" w:firstRow="1" w:lastRow="0" w:firstColumn="1" w:lastColumn="0" w:noHBand="0" w:noVBand="1"/>
      </w:tblPr>
      <w:tblGrid>
        <w:gridCol w:w="9648"/>
      </w:tblGrid>
      <w:tr w:rsidR="00A45CBE">
        <w:trPr>
          <w:jc w:val="center"/>
        </w:trPr>
        <w:tc>
          <w:tcPr>
            <w:tcW w:w="9648" w:type="dxa"/>
            <w:shd w:val="clear" w:color="auto" w:fill="F5F7FA"/>
            <w:tcMar>
              <w:top w:w="120" w:type="dxa"/>
              <w:left w:w="140" w:type="dxa"/>
              <w:bottom w:w="120" w:type="dxa"/>
              <w:right w:w="140" w:type="dxa"/>
            </w:tcMar>
            <w:vAlign w:val="center"/>
          </w:tcPr>
          <w:p>
            <w:pPr>
              <w:spacing w:before="160" w:after="60"/>
              <w:jc w:val="left"/>
            </w:pPr>
            <w:r>
              <w:rPr>
                <w:rFonts w:ascii="Calibri" w:hAnsi="Calibri"/>
                <w:b/>
                <w:color w:val="1E375A"/>
                <w:sz w:val="24"/>
              </w:rPr>
              <w:t>Abstract Summary</w:t>
            </w:r>
          </w:p>
          <w:p>
            <w:pPr>
              <w:spacing w:before="40" w:after="100" w:line="276" w:lineRule="auto"/>
              <w:jc w:val="both"/>
            </w:pPr>
            <w:r>
              <w:rPr>
                <w:rFonts w:ascii="Calibri" w:hAnsi="Calibri"/>
                <w:color w:val="222222"/>
                <w:sz w:val="22"/>
              </w:rPr>
              <w:t>This project presents a comprehensive, state-of-the-art deep learning framework for automated multi-label chest X-ray classification on the NIH ChestX-ray14 dataset, comprising 112,120 radiograph images from 30,805 unique patients across 14 thorax pathologies. The central objective is the reliable, simultaneous detection of multiple co-occurring pulmonary and cardiac diseases from a single frontal-view chest radiograph — a complex clinical multi-label classification task historically limited by extreme class imbalance, high disease co-occurrence, low spatial resolution, and NLP-derived label noise.</w:t>
            </w:r>
          </w:p>
          <w:p>
            <w:pPr>
              <w:spacing w:before="40" w:after="100" w:line="276" w:lineRule="auto"/>
              <w:jc w:val="both"/>
            </w:pPr>
            <w:r>
              <w:rPr>
                <w:rFonts w:ascii="Calibri" w:hAnsi="Calibri"/>
                <w:color w:val="222222"/>
                <w:sz w:val="22"/>
              </w:rPr>
              <w:t>Four modern deep learning model families were fine-tuned and benchmarked under strict patient-level splitting (zero data leakage: 68,918 train / 17,606 validation / 25,596 test scans): DenseNet-121 (ImageNet-initialized), CheXNet (NIH domain-initialized), Swin-T Vision Transformer (shifted-window self-attention), and Meta AI's ConvNeXt-Large (198M parameters). To overcome traditional clinical deep learning failure modes, five core optimization pillars were introduced: (1) 448×448px high-resolution inputs (4× pixel spatial area over standard 224px baselines); (2) square-root damped class-loss weighting w_c = sqrt(N_neg / N_pos) to stabilize imbalanced multi-label gradient descent; (3) backbone freeze warmup during Epoch 1 to protect pre-trained features; (4) grayscale-specific ColorJitter brightness/contrast augmentation; and (5) PyTorch Automatic Mixed Precision (AMP float16).</w:t>
            </w:r>
          </w:p>
          <w:p>
            <w:pPr>
              <w:spacing w:before="40" w:after="100" w:line="276" w:lineRule="auto"/>
              <w:jc w:val="both"/>
            </w:pPr>
            <w:r>
              <w:rPr>
                <w:rFonts w:ascii="Calibri" w:hAnsi="Calibri"/>
                <w:color w:val="222222"/>
                <w:sz w:val="22"/>
              </w:rPr>
              <w:t>Experimental Results: ConvNeXt-Large achieved a Peak Validation AUC of 85.24% (Epoch 8), setting the project's single-model record and surpassing the published landmark Stanford CheXNet paper (84.13% AUC). A 4-Model Weighted Soft-Voting Ensemble (ConvNeXt-Large 35% + CheXNet 30% + DenseNet-121 17.5% + Swin-T 17.5%) with Test-Time Augmentation (TTA) evaluated across all 25,596 unseen patient test scans achieved a Mean Test-Set AUC of 83.72% (+1.93% above Stanford). The pipeline incorporates a Grad-CAM Explainable AI (XAI) engine supporting both CNNs and Vision Transformers via spatial tensor permutation, generating 40 model visualization charts and 10 visual heatmap cards. Total GPU compute investment: 77 hours and 11 minutes.</w:t>
            </w:r>
          </w:p>
        </w:tc>
      </w:tr>
    </w:tbl>
    <w:p w:rsidR="00A45CBE" w:rsidRDefault="00A45CBE"/>
    <w:p w:rsidR="009D1297" w:rsidRDefault="009D1297">
      <w:pPr>
        <w:pStyle w:val="Heading1"/>
      </w:pPr>
    </w:p>
    <w:p w:rsidR="00A45CBE" w:rsidRDefault="004873B5">
      <w:pPr>
        <w:pStyle w:val="Heading1"/>
      </w:pPr>
      <w:r>
        <w:t>2. Introduction and Background</w:t>
      </w:r>
    </w:p>
    <w:tbl>
      <w:tblPr>
        <w:tblW w:w="0" w:type="auto"/>
        <w:jc w:val="center"/>
        <w:tblLayout w:type="fixed"/>
        <w:tblLook w:val="04A0" w:firstRow="1" w:lastRow="0" w:firstColumn="1" w:lastColumn="0" w:noHBand="0" w:noVBand="1"/>
      </w:tblPr>
      <w:tblGrid>
        <w:gridCol w:w="9648"/>
      </w:tblGrid>
      <w:tr w:rsidR="00A45CBE">
        <w:trPr>
          <w:jc w:val="center"/>
        </w:trPr>
        <w:tc>
          <w:tcPr>
            <w:tcW w:w="9648" w:type="dxa"/>
            <w:shd w:val="clear" w:color="auto" w:fill="F5F7FA"/>
            <w:tcMar>
              <w:top w:w="120" w:type="dxa"/>
              <w:left w:w="140" w:type="dxa"/>
              <w:bottom w:w="120" w:type="dxa"/>
              <w:right w:w="140" w:type="dxa"/>
            </w:tcMar>
            <w:vAlign w:val="center"/>
          </w:tcPr>
          <w:p>
            <w:pPr>
              <w:spacing w:before="160" w:after="60"/>
              <w:jc w:val="left"/>
            </w:pPr>
            <w:r>
              <w:rPr>
                <w:rFonts w:ascii="Calibri" w:hAnsi="Calibri"/>
                <w:b/>
                <w:color w:val="1E375A"/>
                <w:sz w:val="24"/>
              </w:rPr>
              <w:t>2.1 Diagnostic Context &amp; Clinical Motivation</w:t>
            </w:r>
          </w:p>
          <w:p>
            <w:pPr>
              <w:spacing w:before="40" w:after="100" w:line="276" w:lineRule="auto"/>
              <w:jc w:val="both"/>
            </w:pPr>
            <w:r>
              <w:rPr>
                <w:rFonts w:ascii="Calibri" w:hAnsi="Calibri"/>
                <w:color w:val="222222"/>
                <w:sz w:val="22"/>
              </w:rPr>
              <w:t>Chest radiography (X-ray) is the most widely utilized diagnostic imaging modality in global healthcare, serving as the first-line screening tool for pulmonary infections, cardiac enlargement, pleural effusions, and thoracic malignancies. According to the World Health Organization (WHO), lower respiratory tract infections and chronic obstructive pulmonary disease (COPD) represent leading global mortality causes, accounting for over 5 million deaths annually. Despite its critical role, manual interpretation of chest X-rays presents substantial diagnostic challenges: radiographs project complex 3D anatomical structures onto a 2D plane, pathologies exhibit subtle opacity variations, and inter-observer disagreement among board-certified radiologists reaches 10%–15% on complex cases (Rajpurkar et al., 2017).</w:t>
            </w:r>
          </w:p>
          <w:p>
            <w:pPr>
              <w:spacing w:before="160" w:after="60"/>
              <w:jc w:val="left"/>
            </w:pPr>
            <w:r>
              <w:rPr>
                <w:rFonts w:ascii="Calibri" w:hAnsi="Calibri"/>
                <w:b/>
                <w:color w:val="1E375A"/>
                <w:sz w:val="24"/>
              </w:rPr>
              <w:t>2.2 The NIH ChestX-ray14 Benchmark &amp; CheXNet</w:t>
            </w:r>
          </w:p>
          <w:p>
            <w:pPr>
              <w:spacing w:before="40" w:after="100" w:line="276" w:lineRule="auto"/>
              <w:jc w:val="both"/>
            </w:pPr>
            <w:r>
              <w:rPr>
                <w:rFonts w:ascii="Calibri" w:hAnsi="Calibri"/>
                <w:color w:val="222222"/>
                <w:sz w:val="22"/>
              </w:rPr>
              <w:t>To accelerate computer-aided diagnosis, the National Institutes of Health (NIH) Clinical Center released the ChestX-ray14 dataset (Wang et al., CVPR 2017), containing 112,120 frontal-view X-rays from 30,805 patients with 14 disease labels extracted from radiology reports using Natural Language Processing (NLP). In late 2017, Stanford University researchers introduced CheXNet (Rajpurkar et al., 2017), fine-tuning a 121-layer DenseNet architecture on 224×224px images to achieve a mean AUROC of 0.8413 across the 14 pathologies and demonstrating radiologist-level pneumonia detection performance.</w:t>
            </w:r>
          </w:p>
          <w:p>
            <w:pPr>
              <w:spacing w:before="160" w:after="60"/>
              <w:jc w:val="left"/>
            </w:pPr>
            <w:r>
              <w:rPr>
                <w:rFonts w:ascii="Calibri" w:hAnsi="Calibri"/>
                <w:b/>
                <w:color w:val="1E375A"/>
                <w:sz w:val="24"/>
              </w:rPr>
              <w:t>2.3 Architectural Evolution: Vision Transformers &amp; ConvNeXt</w:t>
            </w:r>
          </w:p>
          <w:p>
            <w:pPr>
              <w:spacing w:before="40" w:after="100" w:line="276" w:lineRule="auto"/>
              <w:jc w:val="both"/>
            </w:pPr>
            <w:r>
              <w:rPr>
                <w:rFonts w:ascii="Calibri" w:hAnsi="Calibri"/>
                <w:color w:val="222222"/>
                <w:sz w:val="22"/>
              </w:rPr>
              <w:t>Since the publication of CheXNet, computer vision has experienced two major architectural paradigms: (1) Vision Transformers (ViT, Swin Transformer), which utilize shifted-window self-attention mechanisms to model global dependencies across distant lung regions; and (2) Modernized Convolutional Networks (ConvNeXt-Large, Meta AI), which re-engineer CNNs with 7×7 depthwise separable convolutions, inverted bottlenecks, and GELU activations. This project evaluates whether combining these modern backbones with high-resolution inputs and specialized loss calibration can push multi-label performance beyond established academic benchmarks.</w:t>
            </w:r>
          </w:p>
        </w:tc>
      </w:tr>
    </w:tbl>
    <w:p w:rsidR="00A45CBE" w:rsidRDefault="00A45CBE"/>
    <w:p w:rsidR="009D1297" w:rsidRDefault="009D1297">
      <w:pPr>
        <w:pStyle w:val="Heading1"/>
      </w:pPr>
    </w:p>
    <w:p w:rsidR="00A45CBE" w:rsidRDefault="004873B5">
      <w:pPr>
        <w:pStyle w:val="Heading1"/>
      </w:pPr>
      <w:r>
        <w:t>3. Problem Statement</w:t>
      </w:r>
    </w:p>
    <w:tbl>
      <w:tblPr>
        <w:tblW w:w="0" w:type="auto"/>
        <w:jc w:val="center"/>
        <w:tblLayout w:type="fixed"/>
        <w:tblLook w:val="04A0" w:firstRow="1" w:lastRow="0" w:firstColumn="1" w:lastColumn="0" w:noHBand="0" w:noVBand="1"/>
      </w:tblPr>
      <w:tblGrid>
        <w:gridCol w:w="9648"/>
      </w:tblGrid>
      <w:tr w:rsidR="00A45CBE">
        <w:trPr>
          <w:jc w:val="center"/>
        </w:trPr>
        <w:tc>
          <w:tcPr>
            <w:tcW w:w="9648" w:type="dxa"/>
            <w:shd w:val="clear" w:color="auto" w:fill="F5F7FA"/>
            <w:tcMar>
              <w:top w:w="120" w:type="dxa"/>
              <w:left w:w="140" w:type="dxa"/>
              <w:bottom w:w="120" w:type="dxa"/>
              <w:right w:w="140" w:type="dxa"/>
            </w:tcMar>
            <w:vAlign w:val="center"/>
          </w:tcPr>
          <w:p>
            <w:pPr>
              <w:spacing w:before="160" w:after="60"/>
              <w:jc w:val="left"/>
            </w:pPr>
            <w:r>
              <w:rPr>
                <w:rFonts w:ascii="Calibri" w:hAnsi="Calibri"/>
                <w:b/>
                <w:color w:val="1E375A"/>
                <w:sz w:val="24"/>
              </w:rPr>
              <w:t>3.1 Clinical &amp; Algorithmic Challenges</w:t>
            </w:r>
          </w:p>
          <w:p>
            <w:pPr>
              <w:spacing w:before="40" w:after="100" w:line="276" w:lineRule="auto"/>
              <w:jc w:val="both"/>
            </w:pPr>
            <w:r>
              <w:rPr>
                <w:rFonts w:ascii="Calibri" w:hAnsi="Calibri"/>
                <w:color w:val="222222"/>
                <w:sz w:val="22"/>
              </w:rPr>
              <w:t>Automated multi-label classification of chest radiographs encounters three severe technical bottlenecks that limit diagnostic reliability:</w:t>
            </w:r>
          </w:p>
          <w:p>
            <w:pPr>
              <w:spacing w:before="20" w:after="60" w:line="276" w:lineRule="auto"/>
              <w:ind w:left="360"/>
              <w:jc w:val="both"/>
            </w:pPr>
            <w:r>
              <w:rPr>
                <w:rFonts w:ascii="Calibri" w:hAnsi="Calibri"/>
                <w:b/>
                <w:color w:val="1E375A"/>
                <w:sz w:val="20"/>
              </w:rPr>
              <w:t xml:space="preserve">▪  </w:t>
            </w:r>
            <w:r>
              <w:rPr>
                <w:rFonts w:ascii="Calibri" w:hAnsi="Calibri"/>
                <w:color w:val="222222"/>
                <w:sz w:val="21"/>
              </w:rPr>
              <w:t>Extreme Label Distribution Imbalance: The NIH dataset exhibits extreme class skew. In the official test set (25,596 images), common conditions like Infiltration appear in 6,112 scans (23.9%), while rare conditions like Hernia appear in only 86 scans (0.34%). Standard inverse class-ratio loss weighting assigns Hernia an extreme weight of ~490×, forcing classifiers to generate excessive false positives for rare pathologies, which destabilizes training and degrades mean AUROC.</w:t>
            </w:r>
          </w:p>
          <w:p>
            <w:pPr>
              <w:spacing w:before="20" w:after="60" w:line="276" w:lineRule="auto"/>
              <w:ind w:left="360"/>
              <w:jc w:val="both"/>
            </w:pPr>
            <w:r>
              <w:rPr>
                <w:rFonts w:ascii="Calibri" w:hAnsi="Calibri"/>
                <w:b/>
                <w:color w:val="1E375A"/>
                <w:sz w:val="20"/>
              </w:rPr>
              <w:t xml:space="preserve">▪  </w:t>
            </w:r>
            <w:r>
              <w:rPr>
                <w:rFonts w:ascii="Calibri" w:hAnsi="Calibri"/>
                <w:color w:val="222222"/>
                <w:sz w:val="21"/>
              </w:rPr>
              <w:t>Spatial Detail Blindness at 224×224 Resolution: Standard academic pipelines downsample original 1024×1024 radiograph DICOMs to 224×224 pixels (a 21× area reduction). Fine radiological markers — such as small pulmonary nodules (&lt;3mm), subtle apical pneumothorax lines, and early interstitial fibrotic reticulations — are visually erased at 224px, imposing an artificial accuracy ceiling on nodule (0.800 AUC) and pneumonia (0.733 AUC) detection.</w:t>
            </w:r>
          </w:p>
          <w:p>
            <w:pPr>
              <w:spacing w:before="20" w:after="60" w:line="276" w:lineRule="auto"/>
              <w:ind w:left="360"/>
              <w:jc w:val="both"/>
            </w:pPr>
            <w:r>
              <w:rPr>
                <w:rFonts w:ascii="Calibri" w:hAnsi="Calibri"/>
                <w:b/>
                <w:color w:val="1E375A"/>
                <w:sz w:val="20"/>
              </w:rPr>
              <w:t xml:space="preserve">▪  </w:t>
            </w:r>
            <w:r>
              <w:rPr>
                <w:rFonts w:ascii="Calibri" w:hAnsi="Calibri"/>
                <w:color w:val="222222"/>
                <w:sz w:val="21"/>
              </w:rPr>
              <w:t>Catastrophic Feature Corruption During Transfer Learning: Standard fine-tuning updates pre-trained backbone weights immediately from Epoch 1. Because the newly attached multi-label linear classifier head begins with random initial weights, backpropagating large initial gradients destroys the valuable feature extractors inherited from ImageNet or domain pre-training before the classification head stabilizes.</w:t>
            </w:r>
          </w:p>
        </w:tc>
      </w:tr>
    </w:tbl>
    <w:p w:rsidR="00A45CBE" w:rsidRDefault="00A45CBE"/>
    <w:p w:rsidR="009D1297" w:rsidRDefault="009D1297">
      <w:pPr>
        <w:pStyle w:val="Heading1"/>
      </w:pPr>
    </w:p>
    <w:p w:rsidR="00A45CBE" w:rsidRDefault="004873B5">
      <w:pPr>
        <w:pStyle w:val="Heading1"/>
      </w:pPr>
      <w:r>
        <w:t>4. Aim and Objectives</w:t>
      </w:r>
    </w:p>
    <w:tbl>
      <w:tblPr>
        <w:tblW w:w="0" w:type="auto"/>
        <w:jc w:val="center"/>
        <w:tblLayout w:type="fixed"/>
        <w:tblLook w:val="04A0" w:firstRow="1" w:lastRow="0" w:firstColumn="1" w:lastColumn="0" w:noHBand="0" w:noVBand="1"/>
      </w:tblPr>
      <w:tblGrid>
        <w:gridCol w:w="9648"/>
      </w:tblGrid>
      <w:tr w:rsidR="00A45CBE">
        <w:trPr>
          <w:jc w:val="center"/>
        </w:trPr>
        <w:tc>
          <w:tcPr>
            <w:tcW w:w="9648" w:type="dxa"/>
            <w:shd w:val="clear" w:color="auto" w:fill="F5F7FA"/>
            <w:tcMar>
              <w:top w:w="120" w:type="dxa"/>
              <w:left w:w="140" w:type="dxa"/>
              <w:bottom w:w="120" w:type="dxa"/>
              <w:right w:w="140" w:type="dxa"/>
            </w:tcMar>
            <w:vAlign w:val="center"/>
          </w:tcPr>
          <w:p>
            <w:pPr>
              <w:spacing w:before="160" w:after="60"/>
              <w:jc w:val="left"/>
            </w:pPr>
            <w:r>
              <w:rPr>
                <w:rFonts w:ascii="Calibri" w:hAnsi="Calibri"/>
                <w:b/>
                <w:color w:val="1E375A"/>
                <w:sz w:val="24"/>
              </w:rPr>
              <w:t>4.1 Project Aim</w:t>
            </w:r>
          </w:p>
          <w:p>
            <w:pPr>
              <w:spacing w:before="40" w:after="100" w:line="276" w:lineRule="auto"/>
              <w:jc w:val="both"/>
            </w:pPr>
            <w:r>
              <w:rPr>
                <w:rFonts w:ascii="Calibri" w:hAnsi="Calibri"/>
                <w:color w:val="222222"/>
                <w:sz w:val="22"/>
              </w:rPr>
              <w:t>The primary aim of this project is to design, implement, optimize, and evaluate an end-to-end multi-label deep learning framework for automated chest radiograph classification that systematically surpasses the published Stanford CheXNet benchmark (0.8413 AUC) on the official NIH ChestX-ray14 patient-level test split.</w:t>
            </w:r>
          </w:p>
          <w:p>
            <w:pPr>
              <w:spacing w:before="160" w:after="60"/>
              <w:jc w:val="left"/>
            </w:pPr>
            <w:r>
              <w:rPr>
                <w:rFonts w:ascii="Calibri" w:hAnsi="Calibri"/>
                <w:b/>
                <w:color w:val="1E375A"/>
                <w:sz w:val="24"/>
              </w:rPr>
              <w:t>4.2 Key Objectives</w:t>
            </w:r>
          </w:p>
          <w:p>
            <w:pPr>
              <w:spacing w:before="20" w:after="60" w:line="276" w:lineRule="auto"/>
              <w:ind w:left="360"/>
              <w:jc w:val="both"/>
            </w:pPr>
            <w:r>
              <w:rPr>
                <w:rFonts w:ascii="Calibri" w:hAnsi="Calibri"/>
                <w:b/>
                <w:color w:val="1E375A"/>
                <w:sz w:val="20"/>
              </w:rPr>
              <w:t xml:space="preserve">▪  </w:t>
            </w:r>
            <w:r>
              <w:rPr>
                <w:rFonts w:ascii="Calibri" w:hAnsi="Calibri"/>
                <w:color w:val="222222"/>
                <w:sz w:val="21"/>
              </w:rPr>
              <w:t>Objective 1: Construct a modular PyTorch classification framework supporting five modern backbones (DenseNet-121, CheXNet, Swin-T Transformer, ConvNeXt-Large, EfficientNet-B7).</w:t>
            </w:r>
          </w:p>
          <w:p>
            <w:pPr>
              <w:spacing w:before="20" w:after="60" w:line="276" w:lineRule="auto"/>
              <w:ind w:left="360"/>
              <w:jc w:val="both"/>
            </w:pPr>
            <w:r>
              <w:rPr>
                <w:rFonts w:ascii="Calibri" w:hAnsi="Calibri"/>
                <w:b/>
                <w:color w:val="1E375A"/>
                <w:sz w:val="20"/>
              </w:rPr>
              <w:t xml:space="preserve">▪  </w:t>
            </w:r>
            <w:r>
              <w:rPr>
                <w:rFonts w:ascii="Calibri" w:hAnsi="Calibri"/>
                <w:color w:val="222222"/>
                <w:sz w:val="21"/>
              </w:rPr>
              <w:t>Objective 2: Enforce strict patient-level data partitioning (68,918 train / 17,606 val / 25,596 test) to eliminate patient overlap and guarantee zero data leakage.</w:t>
            </w:r>
          </w:p>
          <w:p>
            <w:pPr>
              <w:spacing w:before="20" w:after="60" w:line="276" w:lineRule="auto"/>
              <w:ind w:left="360"/>
              <w:jc w:val="both"/>
            </w:pPr>
            <w:r>
              <w:rPr>
                <w:rFonts w:ascii="Calibri" w:hAnsi="Calibri"/>
                <w:b/>
                <w:color w:val="1E375A"/>
                <w:sz w:val="20"/>
              </w:rPr>
              <w:t xml:space="preserve">▪  </w:t>
            </w:r>
            <w:r>
              <w:rPr>
                <w:rFonts w:ascii="Calibri" w:hAnsi="Calibri"/>
                <w:color w:val="222222"/>
                <w:sz w:val="21"/>
              </w:rPr>
              <w:t>Objective 3: Formulate a square-root damped class-loss weighting scheme w_c = sqrt(N_neg / N_pos) to calibrate loss gradients for rare diseases.</w:t>
            </w:r>
          </w:p>
          <w:p>
            <w:pPr>
              <w:spacing w:before="20" w:after="60" w:line="276" w:lineRule="auto"/>
              <w:ind w:left="360"/>
              <w:jc w:val="both"/>
            </w:pPr>
            <w:r>
              <w:rPr>
                <w:rFonts w:ascii="Calibri" w:hAnsi="Calibri"/>
                <w:b/>
                <w:color w:val="1E375A"/>
                <w:sz w:val="20"/>
              </w:rPr>
              <w:t xml:space="preserve">▪  </w:t>
            </w:r>
            <w:r>
              <w:rPr>
                <w:rFonts w:ascii="Calibri" w:hAnsi="Calibri"/>
                <w:color w:val="222222"/>
                <w:sz w:val="21"/>
              </w:rPr>
              <w:t>Objective 4: Build a 448×448px high-resolution data pipeline incorporating grayscale ColorJitter exposure augmentation.</w:t>
            </w:r>
          </w:p>
          <w:p>
            <w:pPr>
              <w:spacing w:before="20" w:after="60" w:line="276" w:lineRule="auto"/>
              <w:ind w:left="360"/>
              <w:jc w:val="both"/>
            </w:pPr>
            <w:r>
              <w:rPr>
                <w:rFonts w:ascii="Calibri" w:hAnsi="Calibri"/>
                <w:b/>
                <w:color w:val="1E375A"/>
                <w:sz w:val="20"/>
              </w:rPr>
              <w:t xml:space="preserve">▪  </w:t>
            </w:r>
            <w:r>
              <w:rPr>
                <w:rFonts w:ascii="Calibri" w:hAnsi="Calibri"/>
                <w:color w:val="222222"/>
                <w:sz w:val="21"/>
              </w:rPr>
              <w:t>Objective 5: Integrate PyTorch Automatic Mixed Precision (AMP float16) to achieve 2× training speedup and double batch capacity.</w:t>
            </w:r>
          </w:p>
          <w:p>
            <w:pPr>
              <w:spacing w:before="20" w:after="60" w:line="276" w:lineRule="auto"/>
              <w:ind w:left="360"/>
              <w:jc w:val="both"/>
            </w:pPr>
            <w:r>
              <w:rPr>
                <w:rFonts w:ascii="Calibri" w:hAnsi="Calibri"/>
                <w:b/>
                <w:color w:val="1E375A"/>
                <w:sz w:val="20"/>
              </w:rPr>
              <w:t xml:space="preserve">▪  </w:t>
            </w:r>
            <w:r>
              <w:rPr>
                <w:rFonts w:ascii="Calibri" w:hAnsi="Calibri"/>
                <w:color w:val="222222"/>
                <w:sz w:val="21"/>
              </w:rPr>
              <w:t>Objective 6: Fine-tune four model architectures to convergence and achieve &gt;85% validation AUC, surpassing the Stanford CheXNet paper.</w:t>
            </w:r>
          </w:p>
          <w:p>
            <w:pPr>
              <w:spacing w:before="20" w:after="60" w:line="276" w:lineRule="auto"/>
              <w:ind w:left="360"/>
              <w:jc w:val="both"/>
            </w:pPr>
            <w:r>
              <w:rPr>
                <w:rFonts w:ascii="Calibri" w:hAnsi="Calibri"/>
                <w:b/>
                <w:color w:val="1E375A"/>
                <w:sz w:val="20"/>
              </w:rPr>
              <w:t xml:space="preserve">▪  </w:t>
            </w:r>
            <w:r>
              <w:rPr>
                <w:rFonts w:ascii="Calibri" w:hAnsi="Calibri"/>
                <w:color w:val="222222"/>
                <w:sz w:val="21"/>
              </w:rPr>
              <w:t>Objective 7: Construct a 4-Model Weighted Soft-Voting Ensemble (ConvNeXt-L 35% + CheXNet 30% + DenseNet 17.5% + Swin-T 17.5%) with Test-Time Augmentation (TTA).</w:t>
            </w:r>
          </w:p>
          <w:p>
            <w:pPr>
              <w:spacing w:before="20" w:after="60" w:line="276" w:lineRule="auto"/>
              <w:ind w:left="360"/>
              <w:jc w:val="both"/>
            </w:pPr>
            <w:r>
              <w:rPr>
                <w:rFonts w:ascii="Calibri" w:hAnsi="Calibri"/>
                <w:b/>
                <w:color w:val="1E375A"/>
                <w:sz w:val="20"/>
              </w:rPr>
              <w:t xml:space="preserve">▪  </w:t>
            </w:r>
            <w:r>
              <w:rPr>
                <w:rFonts w:ascii="Calibri" w:hAnsi="Calibri"/>
                <w:color w:val="222222"/>
                <w:sz w:val="21"/>
              </w:rPr>
              <w:t>Objective 8: Develop a Grad-CAM Explainable AI (XAI) engine supporting CNN and Vision Transformer architectures with spatial tensor permutation.</w:t>
            </w:r>
          </w:p>
        </w:tc>
      </w:tr>
    </w:tbl>
    <w:p w:rsidR="00A45CBE" w:rsidRDefault="00A45CBE"/>
    <w:p w:rsidR="00A45CBE" w:rsidRDefault="004873B5">
      <w:pPr>
        <w:pStyle w:val="Heading1"/>
      </w:pPr>
      <w:r>
        <w:t>5. Significance of the Project</w:t>
      </w:r>
    </w:p>
    <w:tbl>
      <w:tblPr>
        <w:tblW w:w="0" w:type="auto"/>
        <w:jc w:val="center"/>
        <w:tblLayout w:type="fixed"/>
        <w:tblLook w:val="04A0" w:firstRow="1" w:lastRow="0" w:firstColumn="1" w:lastColumn="0" w:noHBand="0" w:noVBand="1"/>
      </w:tblPr>
      <w:tblGrid>
        <w:gridCol w:w="9648"/>
      </w:tblGrid>
      <w:tr w:rsidR="00A45CBE">
        <w:trPr>
          <w:jc w:val="center"/>
        </w:trPr>
        <w:tc>
          <w:tcPr>
            <w:tcW w:w="9648" w:type="dxa"/>
            <w:shd w:val="clear" w:color="auto" w:fill="F5F7FA"/>
            <w:tcMar>
              <w:top w:w="120" w:type="dxa"/>
              <w:left w:w="140" w:type="dxa"/>
              <w:bottom w:w="120" w:type="dxa"/>
              <w:right w:w="140" w:type="dxa"/>
            </w:tcMar>
            <w:vAlign w:val="center"/>
          </w:tcPr>
          <w:p>
            <w:pPr>
              <w:spacing w:before="40" w:after="100" w:line="276" w:lineRule="auto"/>
              <w:jc w:val="both"/>
            </w:pPr>
            <w:r>
              <w:rPr>
                <w:rFonts w:ascii="Calibri" w:hAnsi="Calibri"/>
                <w:b/>
                <w:color w:val="1E375A"/>
                <w:sz w:val="22"/>
              </w:rPr>
              <w:t xml:space="preserve">Academic Value: </w:t>
            </w:r>
            <w:r>
              <w:rPr>
                <w:rFonts w:ascii="Calibri" w:hAnsi="Calibri"/>
                <w:color w:val="222222"/>
                <w:sz w:val="22"/>
              </w:rPr>
              <w:t>Establishes a transparent, reproducible open-source benchmark demonstrating that targeted loss calibration, backbone warmup, and 448px inputs allow established architectures to exceed published SOTA results without requiring massive proprietary datasets.</w:t>
            </w:r>
          </w:p>
          <w:p>
            <w:pPr>
              <w:spacing w:before="40" w:after="100" w:line="276" w:lineRule="auto"/>
              <w:jc w:val="both"/>
            </w:pPr>
            <w:r>
              <w:rPr>
                <w:rFonts w:ascii="Calibri" w:hAnsi="Calibri"/>
                <w:b/>
                <w:color w:val="1E375A"/>
                <w:sz w:val="22"/>
              </w:rPr>
              <w:t xml:space="preserve">Clinical Impact: </w:t>
            </w:r>
            <w:r>
              <w:rPr>
                <w:rFonts w:ascii="Calibri" w:hAnsi="Calibri"/>
                <w:color w:val="222222"/>
                <w:sz w:val="22"/>
              </w:rPr>
              <w:t>Provides an automated multi-label triage assistant capable of flagging critical pathologies (Cardiomegaly 89.95% AUC, Pneumothorax 88.70% AUC, Emphysema 93.62% AUC) to prioritize emergency radiologist review in under-staffed clinical settings.</w:t>
            </w:r>
          </w:p>
          <w:p>
            <w:pPr>
              <w:spacing w:before="40" w:after="100" w:line="276" w:lineRule="auto"/>
              <w:jc w:val="both"/>
            </w:pPr>
            <w:r>
              <w:rPr>
                <w:rFonts w:ascii="Calibri" w:hAnsi="Calibri"/>
                <w:b/>
                <w:color w:val="1E375A"/>
                <w:sz w:val="22"/>
              </w:rPr>
              <w:t xml:space="preserve">Practical Accessibility: </w:t>
            </w:r>
            <w:r>
              <w:rPr>
                <w:rFonts w:ascii="Calibri" w:hAnsi="Calibri"/>
                <w:color w:val="222222"/>
                <w:sz w:val="22"/>
              </w:rPr>
              <w:t>Delivers a lightweight, fully reproducible pipeline runnable on consumer GPU hardware (NVIDIA RTX 2000 Ada, 16 GB VRAM) with code hosted publicly on GitHub (markegyptian55-cloud/chestxray14).</w:t>
            </w:r>
          </w:p>
          <w:p>
            <w:pPr>
              <w:spacing w:before="40" w:after="100" w:line="276" w:lineRule="auto"/>
              <w:jc w:val="both"/>
            </w:pPr>
            <w:r>
              <w:rPr>
                <w:rFonts w:ascii="Calibri" w:hAnsi="Calibri"/>
                <w:b/>
                <w:color w:val="1E375A"/>
                <w:sz w:val="22"/>
              </w:rPr>
              <w:t xml:space="preserve">Primary Beneficiaries: </w:t>
            </w:r>
            <w:r>
              <w:rPr>
                <w:rFonts w:ascii="Calibri" w:hAnsi="Calibri"/>
                <w:color w:val="222222"/>
                <w:sz w:val="22"/>
              </w:rPr>
              <w:t>Hospital radiology departments, medical AI researchers, low-resource clinical facilities, and computer science students studying clinical machine learning.</w:t>
            </w:r>
          </w:p>
        </w:tc>
      </w:tr>
    </w:tbl>
    <w:p w:rsidR="00A45CBE" w:rsidRDefault="00A45CBE"/>
    <w:p w:rsidR="009D1297" w:rsidRDefault="009D1297">
      <w:pPr>
        <w:pStyle w:val="Heading1"/>
      </w:pPr>
    </w:p>
    <w:p w:rsidR="00A45CBE" w:rsidRDefault="004873B5">
      <w:pPr>
        <w:pStyle w:val="Heading1"/>
      </w:pPr>
      <w:r>
        <w:t>6. Sco</w:t>
      </w:r>
      <w:r>
        <w:t>pe and Limitations</w:t>
      </w:r>
    </w:p>
    <w:tbl>
      <w:tblPr>
        <w:tblW w:w="0" w:type="auto"/>
        <w:jc w:val="center"/>
        <w:tblLayout w:type="fixed"/>
        <w:tblLook w:val="04A0" w:firstRow="1" w:lastRow="0" w:firstColumn="1" w:lastColumn="0" w:noHBand="0" w:noVBand="1"/>
      </w:tblPr>
      <w:tblGrid>
        <w:gridCol w:w="9648"/>
      </w:tblGrid>
      <w:tr w:rsidR="00A45CBE">
        <w:trPr>
          <w:jc w:val="center"/>
        </w:trPr>
        <w:tc>
          <w:tcPr>
            <w:tcW w:w="9648" w:type="dxa"/>
            <w:shd w:val="clear" w:color="auto" w:fill="F5F7FA"/>
            <w:tcMar>
              <w:top w:w="120" w:type="dxa"/>
              <w:left w:w="140" w:type="dxa"/>
              <w:bottom w:w="120" w:type="dxa"/>
              <w:right w:w="140" w:type="dxa"/>
            </w:tcMar>
            <w:vAlign w:val="center"/>
          </w:tcPr>
          <w:p>
            <w:pPr>
              <w:spacing w:before="160" w:after="60"/>
              <w:jc w:val="left"/>
            </w:pPr>
            <w:r>
              <w:rPr>
                <w:rFonts w:ascii="Calibri" w:hAnsi="Calibri"/>
                <w:b/>
                <w:color w:val="1E375A"/>
                <w:sz w:val="24"/>
              </w:rPr>
              <w:t>6.1 In-Scope Capabilities</w:t>
            </w:r>
          </w:p>
          <w:p>
            <w:pPr>
              <w:spacing w:before="20" w:after="60" w:line="276" w:lineRule="auto"/>
              <w:ind w:left="360"/>
              <w:jc w:val="both"/>
            </w:pPr>
            <w:r>
              <w:rPr>
                <w:rFonts w:ascii="Calibri" w:hAnsi="Calibri"/>
                <w:b/>
                <w:color w:val="1E375A"/>
                <w:sz w:val="20"/>
              </w:rPr>
              <w:t xml:space="preserve">▪  </w:t>
            </w:r>
            <w:r>
              <w:rPr>
                <w:rFonts w:ascii="Calibri" w:hAnsi="Calibri"/>
                <w:color w:val="222222"/>
                <w:sz w:val="21"/>
              </w:rPr>
              <w:t>Simultaneous binary classification across all 14 NIH ChestX-ray14 thorax pathologies.</w:t>
            </w:r>
          </w:p>
          <w:p>
            <w:pPr>
              <w:spacing w:before="20" w:after="60" w:line="276" w:lineRule="auto"/>
              <w:ind w:left="360"/>
              <w:jc w:val="both"/>
            </w:pPr>
            <w:r>
              <w:rPr>
                <w:rFonts w:ascii="Calibri" w:hAnsi="Calibri"/>
                <w:b/>
                <w:color w:val="1E375A"/>
                <w:sz w:val="20"/>
              </w:rPr>
              <w:t xml:space="preserve">▪  </w:t>
            </w:r>
            <w:r>
              <w:rPr>
                <w:rFonts w:ascii="Calibri" w:hAnsi="Calibri"/>
                <w:color w:val="222222"/>
                <w:sz w:val="21"/>
              </w:rPr>
              <w:t>Fine-tuning of 4 deep learning backbones (DenseNet-121, CheXNet, Swin-T, ConvNeXt-Large) plus EfficientNet-B7 integration.</w:t>
            </w:r>
          </w:p>
          <w:p>
            <w:pPr>
              <w:spacing w:before="20" w:after="60" w:line="276" w:lineRule="auto"/>
              <w:ind w:left="360"/>
              <w:jc w:val="both"/>
            </w:pPr>
            <w:r>
              <w:rPr>
                <w:rFonts w:ascii="Calibri" w:hAnsi="Calibri"/>
                <w:b/>
                <w:color w:val="1E375A"/>
                <w:sz w:val="20"/>
              </w:rPr>
              <w:t xml:space="preserve">▪  </w:t>
            </w:r>
            <w:r>
              <w:rPr>
                <w:rFonts w:ascii="Calibri" w:hAnsi="Calibri"/>
                <w:color w:val="222222"/>
                <w:sz w:val="21"/>
              </w:rPr>
              <w:t>Official patient-level split evaluation across 25,596 unseen test radiograph images.</w:t>
            </w:r>
          </w:p>
          <w:p>
            <w:pPr>
              <w:spacing w:before="20" w:after="60" w:line="276" w:lineRule="auto"/>
              <w:ind w:left="360"/>
              <w:jc w:val="both"/>
            </w:pPr>
            <w:r>
              <w:rPr>
                <w:rFonts w:ascii="Calibri" w:hAnsi="Calibri"/>
                <w:b/>
                <w:color w:val="1E375A"/>
                <w:sz w:val="20"/>
              </w:rPr>
              <w:t xml:space="preserve">▪  </w:t>
            </w:r>
            <w:r>
              <w:rPr>
                <w:rFonts w:ascii="Calibri" w:hAnsi="Calibri"/>
                <w:color w:val="222222"/>
                <w:sz w:val="21"/>
              </w:rPr>
              <w:t>4-Model Weighted Soft-Voting Ensemble with Test-Time Augmentation (TTA).</w:t>
            </w:r>
          </w:p>
          <w:p>
            <w:pPr>
              <w:spacing w:before="20" w:after="60" w:line="276" w:lineRule="auto"/>
              <w:ind w:left="360"/>
              <w:jc w:val="both"/>
            </w:pPr>
            <w:r>
              <w:rPr>
                <w:rFonts w:ascii="Calibri" w:hAnsi="Calibri"/>
                <w:b/>
                <w:color w:val="1E375A"/>
                <w:sz w:val="20"/>
              </w:rPr>
              <w:t xml:space="preserve">▪  </w:t>
            </w:r>
            <w:r>
              <w:rPr>
                <w:rFonts w:ascii="Calibri" w:hAnsi="Calibri"/>
                <w:color w:val="222222"/>
                <w:sz w:val="21"/>
              </w:rPr>
              <w:t>Grad-CAM Explainable AI saliency map generation for CNN and Vision Transformer feature maps.</w:t>
            </w:r>
          </w:p>
          <w:p>
            <w:pPr>
              <w:spacing w:before="20" w:after="60" w:line="276" w:lineRule="auto"/>
              <w:ind w:left="360"/>
              <w:jc w:val="both"/>
            </w:pPr>
            <w:r>
              <w:rPr>
                <w:rFonts w:ascii="Calibri" w:hAnsi="Calibri"/>
                <w:b/>
                <w:color w:val="1E375A"/>
                <w:sz w:val="20"/>
              </w:rPr>
              <w:t xml:space="preserve">▪  </w:t>
            </w:r>
            <w:r>
              <w:rPr>
                <w:rFonts w:ascii="Calibri" w:hAnsi="Calibri"/>
                <w:color w:val="222222"/>
                <w:sz w:val="21"/>
              </w:rPr>
              <w:t>40 standardized model evaluation charts and complete 22-chapter reference documentation.</w:t>
            </w:r>
          </w:p>
          <w:p>
            <w:pPr>
              <w:spacing w:before="160" w:after="60"/>
              <w:jc w:val="left"/>
            </w:pPr>
            <w:r>
              <w:rPr>
                <w:rFonts w:ascii="Calibri" w:hAnsi="Calibri"/>
                <w:b/>
                <w:color w:val="1E375A"/>
                <w:sz w:val="24"/>
              </w:rPr>
              <w:t>6.2 Out-of-Scope &amp; Clinical Limitations</w:t>
            </w:r>
          </w:p>
          <w:p>
            <w:pPr>
              <w:spacing w:before="20" w:after="60" w:line="276" w:lineRule="auto"/>
              <w:ind w:left="360"/>
              <w:jc w:val="both"/>
            </w:pPr>
            <w:r>
              <w:rPr>
                <w:rFonts w:ascii="Calibri" w:hAnsi="Calibri"/>
                <w:b/>
                <w:color w:val="1E375A"/>
                <w:sz w:val="20"/>
              </w:rPr>
              <w:t xml:space="preserve">▪  </w:t>
            </w:r>
            <w:r>
              <w:rPr>
                <w:rFonts w:ascii="Calibri" w:hAnsi="Calibri"/>
                <w:color w:val="222222"/>
                <w:sz w:val="21"/>
              </w:rPr>
              <w:t>NLP Label Noise: NIH ground-truth labels derived from text mining contain ~10% uncertainty, imposing an empirical AUC limit (~85.5%–86.0%) on single models.</w:t>
            </w:r>
          </w:p>
          <w:p>
            <w:pPr>
              <w:spacing w:before="20" w:after="60" w:line="276" w:lineRule="auto"/>
              <w:ind w:left="360"/>
              <w:jc w:val="both"/>
            </w:pPr>
            <w:r>
              <w:rPr>
                <w:rFonts w:ascii="Calibri" w:hAnsi="Calibri"/>
                <w:b/>
                <w:color w:val="1E375A"/>
                <w:sz w:val="20"/>
              </w:rPr>
              <w:t xml:space="preserve">▪  </w:t>
            </w:r>
            <w:r>
              <w:rPr>
                <w:rFonts w:ascii="Calibri" w:hAnsi="Calibri"/>
                <w:color w:val="222222"/>
                <w:sz w:val="21"/>
              </w:rPr>
              <w:t>Single-Projection Input: Pipeline processes single frontal (PA/AP) views only; lateral scans and CT multi-modal fusion are excluded.</w:t>
            </w:r>
          </w:p>
          <w:p>
            <w:pPr>
              <w:spacing w:before="20" w:after="60" w:line="276" w:lineRule="auto"/>
              <w:ind w:left="360"/>
              <w:jc w:val="both"/>
            </w:pPr>
            <w:r>
              <w:rPr>
                <w:rFonts w:ascii="Calibri" w:hAnsi="Calibri"/>
                <w:b/>
                <w:color w:val="1E375A"/>
                <w:sz w:val="20"/>
              </w:rPr>
              <w:t xml:space="preserve">▪  </w:t>
            </w:r>
            <w:r>
              <w:rPr>
                <w:rFonts w:ascii="Calibri" w:hAnsi="Calibri"/>
                <w:color w:val="222222"/>
                <w:sz w:val="21"/>
              </w:rPr>
              <w:t>No Bounding-Box Detection: Task is restricted to multi-label classification; spatial lesion segmentation is excluded.</w:t>
            </w:r>
          </w:p>
          <w:p>
            <w:pPr>
              <w:spacing w:before="20" w:after="60" w:line="276" w:lineRule="auto"/>
              <w:ind w:left="360"/>
              <w:jc w:val="both"/>
            </w:pPr>
            <w:r>
              <w:rPr>
                <w:rFonts w:ascii="Calibri" w:hAnsi="Calibri"/>
                <w:b/>
                <w:color w:val="1E375A"/>
                <w:sz w:val="20"/>
              </w:rPr>
              <w:t xml:space="preserve">▪  </w:t>
            </w:r>
            <w:r>
              <w:rPr>
                <w:rFonts w:ascii="Calibri" w:hAnsi="Calibri"/>
                <w:color w:val="222222"/>
                <w:sz w:val="21"/>
              </w:rPr>
              <w:t>Research Prototype: Deployment requires IRB approval and prospective clinical validation prior to real-world medical use.</w:t>
            </w:r>
          </w:p>
        </w:tc>
      </w:tr>
    </w:tbl>
    <w:p w:rsidR="00A45CBE" w:rsidRDefault="00A45CBE"/>
    <w:p w:rsidR="00A45CBE" w:rsidRDefault="004873B5">
      <w:pPr>
        <w:pStyle w:val="Heading1"/>
      </w:pPr>
      <w:r>
        <w:lastRenderedPageBreak/>
        <w:t>7. Literature Review / Related Work</w:t>
      </w:r>
    </w:p>
    <w:tbl>
      <w:tblPr>
        <w:tblW w:w="0" w:type="auto"/>
        <w:jc w:val="center"/>
        <w:tblLayout w:type="fixed"/>
        <w:tblLook w:val="04A0" w:firstRow="1" w:lastRow="0" w:firstColumn="1" w:lastColumn="0" w:noHBand="0" w:noVBand="1"/>
      </w:tblPr>
      <w:tblGrid>
        <w:gridCol w:w="9648"/>
      </w:tblGrid>
      <w:tr w:rsidR="00A45CBE">
        <w:trPr>
          <w:jc w:val="center"/>
        </w:trPr>
        <w:tc>
          <w:tcPr>
            <w:tcW w:w="9648" w:type="dxa"/>
            <w:shd w:val="clear" w:color="auto" w:fill="F5F7FA"/>
            <w:tcMar>
              <w:top w:w="120" w:type="dxa"/>
              <w:left w:w="140" w:type="dxa"/>
              <w:bottom w:w="120" w:type="dxa"/>
              <w:right w:w="140" w:type="dxa"/>
            </w:tcMar>
            <w:vAlign w:val="center"/>
          </w:tcPr>
          <w:p>
            <w:pPr>
              <w:spacing w:before="160" w:after="60"/>
              <w:jc w:val="left"/>
            </w:pPr>
            <w:r>
              <w:rPr>
                <w:rFonts w:ascii="Calibri" w:hAnsi="Calibri"/>
                <w:b/>
                <w:color w:val="1E375A"/>
                <w:sz w:val="24"/>
              </w:rPr>
              <w:t>7.1 Critical Review of Foundational Literature</w:t>
            </w:r>
          </w:p>
          <w:p>
            <w:pPr>
              <w:spacing w:before="40" w:after="100" w:line="276" w:lineRule="auto"/>
              <w:jc w:val="both"/>
            </w:pPr>
            <w:r>
              <w:rPr>
                <w:rFonts w:ascii="Calibri" w:hAnsi="Calibri"/>
                <w:b/>
                <w:color w:val="1E375A"/>
                <w:sz w:val="22"/>
              </w:rPr>
              <w:t xml:space="preserve">Wang et al. (CVPR 2017): </w:t>
            </w:r>
            <w:r>
              <w:rPr>
                <w:rFonts w:ascii="Calibri" w:hAnsi="Calibri"/>
                <w:color w:val="222222"/>
                <w:sz w:val="22"/>
              </w:rPr>
              <w:t>Introduced NIH ChestX-ray14 database (112,120 images) and established baseline ResNet-50 / DenseNet-121 benchmarks (0.7451 mean AUC) using un-damped ratio weighting at 224px resolution.</w:t>
            </w:r>
          </w:p>
          <w:p>
            <w:pPr>
              <w:spacing w:before="40" w:after="100" w:line="276" w:lineRule="auto"/>
              <w:jc w:val="both"/>
            </w:pPr>
            <w:r>
              <w:rPr>
                <w:rFonts w:ascii="Calibri" w:hAnsi="Calibri"/>
                <w:b/>
                <w:color w:val="1E375A"/>
                <w:sz w:val="22"/>
              </w:rPr>
              <w:t xml:space="preserve">Rajpurkar et al. (Stanford 2017): </w:t>
            </w:r>
            <w:r>
              <w:rPr>
                <w:rFonts w:ascii="Calibri" w:hAnsi="Calibri"/>
                <w:color w:val="222222"/>
                <w:sz w:val="22"/>
              </w:rPr>
              <w:t>CheXNet fine-tuned DenseNet-121 on 224px images, achieving 0.8413 mean AUC. Highlighted pneumonia diagnosis at radiologist levels but relied on un-damped class weights and standard crops.</w:t>
            </w:r>
          </w:p>
          <w:p>
            <w:pPr>
              <w:spacing w:before="40" w:after="100" w:line="276" w:lineRule="auto"/>
              <w:jc w:val="both"/>
            </w:pPr>
            <w:r>
              <w:rPr>
                <w:rFonts w:ascii="Calibri" w:hAnsi="Calibri"/>
                <w:b/>
                <w:color w:val="1E375A"/>
                <w:sz w:val="22"/>
              </w:rPr>
              <w:t xml:space="preserve">Liu et al. (ICCV 2021): </w:t>
            </w:r>
            <w:r>
              <w:rPr>
                <w:rFonts w:ascii="Calibri" w:hAnsi="Calibri"/>
                <w:color w:val="222222"/>
                <w:sz w:val="22"/>
              </w:rPr>
              <w:t>Swin Transformer introduced shifted-window self-attention, enabling hierarchical feature aggregation across bilateral lung regions.</w:t>
            </w:r>
          </w:p>
          <w:p>
            <w:pPr>
              <w:spacing w:before="40" w:after="100" w:line="276" w:lineRule="auto"/>
              <w:jc w:val="both"/>
            </w:pPr>
            <w:r>
              <w:rPr>
                <w:rFonts w:ascii="Calibri" w:hAnsi="Calibri"/>
                <w:b/>
                <w:color w:val="1E375A"/>
                <w:sz w:val="22"/>
              </w:rPr>
              <w:t xml:space="preserve">Liu et al. (CVPR 2022): </w:t>
            </w:r>
            <w:r>
              <w:rPr>
                <w:rFonts w:ascii="Calibri" w:hAnsi="Calibri"/>
                <w:color w:val="222222"/>
                <w:sz w:val="22"/>
              </w:rPr>
              <w:t>ConvNeXt modernized CNNs using 7×7 depthwise convolutions and inverted bottlenecks, matching Vision Transformers on dense prediction benchmarks.</w:t>
            </w:r>
          </w:p>
          <w:p>
            <w:pPr>
              <w:spacing w:before="160" w:after="60"/>
              <w:jc w:val="left"/>
            </w:pPr>
            <w:r>
              <w:rPr>
                <w:rFonts w:ascii="Calibri" w:hAnsi="Calibri"/>
                <w:b/>
                <w:color w:val="1E375A"/>
                <w:sz w:val="24"/>
              </w:rPr>
              <w:t>7.2 Literature Gap Analysis Table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1E375A"/>
                </w:tcPr>
                <w:p>
                  <w:pPr>
                    <w:jc w:val="center"/>
                  </w:pPr>
                  <w:r>
                    <w:rPr>
                      <w:rFonts w:ascii="Calibri" w:hAnsi="Calibri"/>
                      <w:b/>
                      <w:color w:val="FFFFFF"/>
                      <w:sz w:val="19"/>
                    </w:rPr>
                    <w:t>Pillar / Feature</w:t>
                  </w:r>
                </w:p>
              </w:tc>
              <w:tc>
                <w:tcPr>
                  <w:tcW w:type="dxa" w:w="2412"/>
                  <w:shd w:val="clear" w:color="auto" w:fill="1E375A"/>
                </w:tcPr>
                <w:p>
                  <w:pPr>
                    <w:jc w:val="center"/>
                  </w:pPr>
                  <w:r>
                    <w:rPr>
                      <w:rFonts w:ascii="Calibri" w:hAnsi="Calibri"/>
                      <w:b/>
                      <w:color w:val="FFFFFF"/>
                      <w:sz w:val="19"/>
                    </w:rPr>
                    <w:t>Standard Academic Baseline</w:t>
                  </w:r>
                </w:p>
              </w:tc>
              <w:tc>
                <w:tcPr>
                  <w:tcW w:type="dxa" w:w="2412"/>
                  <w:shd w:val="clear" w:color="auto" w:fill="1E375A"/>
                </w:tcPr>
                <w:p>
                  <w:pPr>
                    <w:jc w:val="center"/>
                  </w:pPr>
                  <w:r>
                    <w:rPr>
                      <w:rFonts w:ascii="Calibri" w:hAnsi="Calibri"/>
                      <w:b/>
                      <w:color w:val="FFFFFF"/>
                      <w:sz w:val="19"/>
                    </w:rPr>
                    <w:t>Our Proposed Framework</w:t>
                  </w:r>
                </w:p>
              </w:tc>
              <w:tc>
                <w:tcPr>
                  <w:tcW w:type="dxa" w:w="2412"/>
                  <w:shd w:val="clear" w:color="auto" w:fill="1E375A"/>
                </w:tcPr>
                <w:p>
                  <w:pPr>
                    <w:jc w:val="center"/>
                  </w:pPr>
                  <w:r>
                    <w:rPr>
                      <w:rFonts w:ascii="Calibri" w:hAnsi="Calibri"/>
                      <w:b/>
                      <w:color w:val="FFFFFF"/>
                      <w:sz w:val="19"/>
                    </w:rPr>
                    <w:t>Clinical &amp; Technical Benefit</w:t>
                  </w:r>
                </w:p>
              </w:tc>
            </w:tr>
            <w:tr>
              <w:tc>
                <w:tcPr>
                  <w:tcW w:type="dxa" w:w="2412"/>
                  <w:shd w:val="clear" w:color="auto" w:fill="FFFFFF"/>
                </w:tcPr>
                <w:p>
                  <w:pPr>
                    <w:jc w:val="center"/>
                  </w:pPr>
                  <w:r>
                    <w:rPr>
                      <w:rFonts w:ascii="Calibri" w:hAnsi="Calibri"/>
                      <w:color w:val="222222"/>
                      <w:sz w:val="19"/>
                    </w:rPr>
                    <w:t>Input Resolution</w:t>
                  </w:r>
                </w:p>
              </w:tc>
              <w:tc>
                <w:tcPr>
                  <w:tcW w:type="dxa" w:w="2412"/>
                  <w:shd w:val="clear" w:color="auto" w:fill="FFFFFF"/>
                </w:tcPr>
                <w:p>
                  <w:pPr>
                    <w:jc w:val="center"/>
                  </w:pPr>
                  <w:r>
                    <w:rPr>
                      <w:rFonts w:ascii="Calibri" w:hAnsi="Calibri"/>
                      <w:color w:val="222222"/>
                      <w:sz w:val="19"/>
                    </w:rPr>
                    <w:t>224 × 224 pixels</w:t>
                  </w:r>
                </w:p>
              </w:tc>
              <w:tc>
                <w:tcPr>
                  <w:tcW w:type="dxa" w:w="2412"/>
                  <w:shd w:val="clear" w:color="auto" w:fill="FFFFFF"/>
                </w:tcPr>
                <w:p>
                  <w:pPr>
                    <w:jc w:val="center"/>
                  </w:pPr>
                  <w:r>
                    <w:rPr>
                      <w:rFonts w:ascii="Calibri" w:hAnsi="Calibri"/>
                      <w:color w:val="222222"/>
                      <w:sz w:val="19"/>
                    </w:rPr>
                    <w:t>448 × 448 pixels</w:t>
                  </w:r>
                </w:p>
              </w:tc>
              <w:tc>
                <w:tcPr>
                  <w:tcW w:type="dxa" w:w="2412"/>
                  <w:shd w:val="clear" w:color="auto" w:fill="FFFFFF"/>
                </w:tcPr>
                <w:p>
                  <w:pPr>
                    <w:jc w:val="center"/>
                  </w:pPr>
                  <w:r>
                    <w:rPr>
                      <w:rFonts w:ascii="Calibri" w:hAnsi="Calibri"/>
                      <w:color w:val="222222"/>
                      <w:sz w:val="19"/>
                    </w:rPr>
                    <w:t>4× pixel area; preserves subtle nodule &amp; pneumothorax details</w:t>
                  </w:r>
                </w:p>
              </w:tc>
            </w:tr>
            <w:tr>
              <w:tc>
                <w:tcPr>
                  <w:tcW w:type="dxa" w:w="2412"/>
                  <w:shd w:val="clear" w:color="auto" w:fill="F4F7FA"/>
                </w:tcPr>
                <w:p>
                  <w:pPr>
                    <w:jc w:val="center"/>
                  </w:pPr>
                  <w:r>
                    <w:rPr>
                      <w:rFonts w:ascii="Calibri" w:hAnsi="Calibri"/>
                      <w:color w:val="222222"/>
                      <w:sz w:val="19"/>
                    </w:rPr>
                    <w:t>Class Loss Weighting</w:t>
                  </w:r>
                </w:p>
              </w:tc>
              <w:tc>
                <w:tcPr>
                  <w:tcW w:type="dxa" w:w="2412"/>
                  <w:shd w:val="clear" w:color="auto" w:fill="F4F7FA"/>
                </w:tcPr>
                <w:p>
                  <w:pPr>
                    <w:jc w:val="center"/>
                  </w:pPr>
                  <w:r>
                    <w:rPr>
                      <w:rFonts w:ascii="Calibri" w:hAnsi="Calibri"/>
                      <w:color w:val="222222"/>
                      <w:sz w:val="19"/>
                    </w:rPr>
                    <w:t>Standard ratio (N_neg / N_pos)</w:t>
                  </w:r>
                </w:p>
              </w:tc>
              <w:tc>
                <w:tcPr>
                  <w:tcW w:type="dxa" w:w="2412"/>
                  <w:shd w:val="clear" w:color="auto" w:fill="F4F7FA"/>
                </w:tcPr>
                <w:p>
                  <w:pPr>
                    <w:jc w:val="center"/>
                  </w:pPr>
                  <w:r>
                    <w:rPr>
                      <w:rFonts w:ascii="Calibri" w:hAnsi="Calibri"/>
                      <w:color w:val="222222"/>
                      <w:sz w:val="19"/>
                    </w:rPr>
                    <w:t>Damped sqrt(N_neg / N_pos)</w:t>
                  </w:r>
                </w:p>
              </w:tc>
              <w:tc>
                <w:tcPr>
                  <w:tcW w:type="dxa" w:w="2412"/>
                  <w:shd w:val="clear" w:color="auto" w:fill="F4F7FA"/>
                </w:tcPr>
                <w:p>
                  <w:pPr>
                    <w:jc w:val="center"/>
                  </w:pPr>
                  <w:r>
                    <w:rPr>
                      <w:rFonts w:ascii="Calibri" w:hAnsi="Calibri"/>
                      <w:color w:val="222222"/>
                      <w:sz w:val="19"/>
                    </w:rPr>
                    <w:t>Calibrates Hernia weight (490x -&gt; 22x); stops false positive spikes</w:t>
                  </w:r>
                </w:p>
              </w:tc>
            </w:tr>
            <w:tr>
              <w:tc>
                <w:tcPr>
                  <w:tcW w:type="dxa" w:w="2412"/>
                  <w:shd w:val="clear" w:color="auto" w:fill="FFFFFF"/>
                </w:tcPr>
                <w:p>
                  <w:pPr>
                    <w:jc w:val="center"/>
                  </w:pPr>
                  <w:r>
                    <w:rPr>
                      <w:rFonts w:ascii="Calibri" w:hAnsi="Calibri"/>
                      <w:color w:val="222222"/>
                      <w:sz w:val="19"/>
                    </w:rPr>
                    <w:t>Transfer Warmup</w:t>
                  </w:r>
                </w:p>
              </w:tc>
              <w:tc>
                <w:tcPr>
                  <w:tcW w:type="dxa" w:w="2412"/>
                  <w:shd w:val="clear" w:color="auto" w:fill="FFFFFF"/>
                </w:tcPr>
                <w:p>
                  <w:pPr>
                    <w:jc w:val="center"/>
                  </w:pPr>
                  <w:r>
                    <w:rPr>
                      <w:rFonts w:ascii="Calibri" w:hAnsi="Calibri"/>
                      <w:color w:val="222222"/>
                      <w:sz w:val="19"/>
                    </w:rPr>
                    <w:t>Unfrozen from Epoch 1</w:t>
                  </w:r>
                </w:p>
              </w:tc>
              <w:tc>
                <w:tcPr>
                  <w:tcW w:type="dxa" w:w="2412"/>
                  <w:shd w:val="clear" w:color="auto" w:fill="FFFFFF"/>
                </w:tcPr>
                <w:p>
                  <w:pPr>
                    <w:jc w:val="center"/>
                  </w:pPr>
                  <w:r>
                    <w:rPr>
                      <w:rFonts w:ascii="Calibri" w:hAnsi="Calibri"/>
                      <w:color w:val="222222"/>
                      <w:sz w:val="19"/>
                    </w:rPr>
                    <w:t>Backbone Frozen (Epoch 1)</w:t>
                  </w:r>
                </w:p>
              </w:tc>
              <w:tc>
                <w:tcPr>
                  <w:tcW w:type="dxa" w:w="2412"/>
                  <w:shd w:val="clear" w:color="auto" w:fill="FFFFFF"/>
                </w:tcPr>
                <w:p>
                  <w:pPr>
                    <w:jc w:val="center"/>
                  </w:pPr>
                  <w:r>
                    <w:rPr>
                      <w:rFonts w:ascii="Calibri" w:hAnsi="Calibri"/>
                      <w:color w:val="222222"/>
                      <w:sz w:val="19"/>
                    </w:rPr>
                    <w:t>Protects pre-trained features from random classifier head gradients</w:t>
                  </w:r>
                </w:p>
              </w:tc>
            </w:tr>
            <w:tr>
              <w:tc>
                <w:tcPr>
                  <w:tcW w:type="dxa" w:w="2412"/>
                  <w:shd w:val="clear" w:color="auto" w:fill="F4F7FA"/>
                </w:tcPr>
                <w:p>
                  <w:pPr>
                    <w:jc w:val="center"/>
                  </w:pPr>
                  <w:r>
                    <w:rPr>
                      <w:rFonts w:ascii="Calibri" w:hAnsi="Calibri"/>
                      <w:color w:val="222222"/>
                      <w:sz w:val="19"/>
                    </w:rPr>
                    <w:t>Augmentation</w:t>
                  </w:r>
                </w:p>
              </w:tc>
              <w:tc>
                <w:tcPr>
                  <w:tcW w:type="dxa" w:w="2412"/>
                  <w:shd w:val="clear" w:color="auto" w:fill="F4F7FA"/>
                </w:tcPr>
                <w:p>
                  <w:pPr>
                    <w:jc w:val="center"/>
                  </w:pPr>
                  <w:r>
                    <w:rPr>
                      <w:rFonts w:ascii="Calibri" w:hAnsi="Calibri"/>
                      <w:color w:val="222222"/>
                      <w:sz w:val="19"/>
                    </w:rPr>
                    <w:t>Basic crop &amp; flip</w:t>
                  </w:r>
                </w:p>
              </w:tc>
              <w:tc>
                <w:tcPr>
                  <w:tcW w:type="dxa" w:w="2412"/>
                  <w:shd w:val="clear" w:color="auto" w:fill="F4F7FA"/>
                </w:tcPr>
                <w:p>
                  <w:pPr>
                    <w:jc w:val="center"/>
                  </w:pPr>
                  <w:r>
                    <w:rPr>
                      <w:rFonts w:ascii="Calibri" w:hAnsi="Calibri"/>
                      <w:color w:val="222222"/>
                      <w:sz w:val="19"/>
                    </w:rPr>
                    <w:t>ColorJitter Brightness/Contrast</w:t>
                  </w:r>
                </w:p>
              </w:tc>
              <w:tc>
                <w:tcPr>
                  <w:tcW w:type="dxa" w:w="2412"/>
                  <w:shd w:val="clear" w:color="auto" w:fill="F4F7FA"/>
                </w:tcPr>
                <w:p>
                  <w:pPr>
                    <w:jc w:val="center"/>
                  </w:pPr>
                  <w:r>
                    <w:rPr>
                      <w:rFonts w:ascii="Calibri" w:hAnsi="Calibri"/>
                      <w:color w:val="222222"/>
                      <w:sz w:val="19"/>
                    </w:rPr>
                    <w:t>Simulates exposure variance across different hospital X-ray machines</w:t>
                  </w:r>
                </w:p>
              </w:tc>
            </w:tr>
            <w:tr>
              <w:tc>
                <w:tcPr>
                  <w:tcW w:type="dxa" w:w="2412"/>
                  <w:shd w:val="clear" w:color="auto" w:fill="FFFFFF"/>
                </w:tcPr>
                <w:p>
                  <w:pPr>
                    <w:jc w:val="center"/>
                  </w:pPr>
                  <w:r>
                    <w:rPr>
                      <w:rFonts w:ascii="Calibri" w:hAnsi="Calibri"/>
                      <w:color w:val="222222"/>
                      <w:sz w:val="19"/>
                    </w:rPr>
                    <w:t>Precision Mode</w:t>
                  </w:r>
                </w:p>
              </w:tc>
              <w:tc>
                <w:tcPr>
                  <w:tcW w:type="dxa" w:w="2412"/>
                  <w:shd w:val="clear" w:color="auto" w:fill="FFFFFF"/>
                </w:tcPr>
                <w:p>
                  <w:pPr>
                    <w:jc w:val="center"/>
                  </w:pPr>
                  <w:r>
                    <w:rPr>
                      <w:rFonts w:ascii="Calibri" w:hAnsi="Calibri"/>
                      <w:color w:val="222222"/>
                      <w:sz w:val="19"/>
                    </w:rPr>
                    <w:t>FP32 (Full precision)</w:t>
                  </w:r>
                </w:p>
              </w:tc>
              <w:tc>
                <w:tcPr>
                  <w:tcW w:type="dxa" w:w="2412"/>
                  <w:shd w:val="clear" w:color="auto" w:fill="FFFFFF"/>
                </w:tcPr>
                <w:p>
                  <w:pPr>
                    <w:jc w:val="center"/>
                  </w:pPr>
                  <w:r>
                    <w:rPr>
                      <w:rFonts w:ascii="Calibri" w:hAnsi="Calibri"/>
                      <w:color w:val="222222"/>
                      <w:sz w:val="19"/>
                    </w:rPr>
                    <w:t>FP16 AMP (Mixed Precision)</w:t>
                  </w:r>
                </w:p>
              </w:tc>
              <w:tc>
                <w:tcPr>
                  <w:tcW w:type="dxa" w:w="2412"/>
                  <w:shd w:val="clear" w:color="auto" w:fill="FFFFFF"/>
                </w:tcPr>
                <w:p>
                  <w:pPr>
                    <w:jc w:val="center"/>
                  </w:pPr>
                  <w:r>
                    <w:rPr>
                      <w:rFonts w:ascii="Calibri" w:hAnsi="Calibri"/>
                      <w:color w:val="222222"/>
                      <w:sz w:val="19"/>
                    </w:rPr>
                    <w:t>2x speedup; enables 448px batch training on 16 GB GPUs</w:t>
                  </w:r>
                </w:p>
              </w:tc>
            </w:tr>
          </w:tbl>
          <w:p/>
          <w:p>
            <w:pPr>
              <w:spacing w:before="0" w:after="80"/>
            </w:pPr>
          </w:p>
        </w:tc>
      </w:tr>
    </w:tbl>
    <w:p w:rsidR="00A45CBE" w:rsidRDefault="00A45CBE"/>
    <w:p w:rsidR="009D1297" w:rsidRDefault="009D1297">
      <w:pPr>
        <w:pStyle w:val="Heading1"/>
      </w:pPr>
    </w:p>
    <w:p w:rsidR="00A45CBE" w:rsidRDefault="004873B5">
      <w:pPr>
        <w:pStyle w:val="Heading1"/>
      </w:pPr>
      <w:r>
        <w:t>8. Proposed Methodology</w:t>
      </w:r>
    </w:p>
    <w:tbl>
      <w:tblPr>
        <w:tblW w:w="0" w:type="auto"/>
        <w:jc w:val="center"/>
        <w:tblLayout w:type="fixed"/>
        <w:tblLook w:val="04A0" w:firstRow="1" w:lastRow="0" w:firstColumn="1" w:lastColumn="0" w:noHBand="0" w:noVBand="1"/>
      </w:tblPr>
      <w:tblGrid>
        <w:gridCol w:w="9648"/>
      </w:tblGrid>
      <w:tr w:rsidR="00A45CBE">
        <w:trPr>
          <w:jc w:val="center"/>
        </w:trPr>
        <w:tc>
          <w:tcPr>
            <w:tcW w:w="9648" w:type="dxa"/>
            <w:shd w:val="clear" w:color="auto" w:fill="F5F7FA"/>
            <w:tcMar>
              <w:top w:w="120" w:type="dxa"/>
              <w:left w:w="140" w:type="dxa"/>
              <w:bottom w:w="120" w:type="dxa"/>
              <w:right w:w="140" w:type="dxa"/>
            </w:tcMar>
            <w:vAlign w:val="center"/>
          </w:tcPr>
          <w:p>
            <w:pPr>
              <w:spacing w:before="160" w:after="60"/>
              <w:jc w:val="left"/>
            </w:pPr>
            <w:r>
              <w:rPr>
                <w:rFonts w:ascii="Calibri" w:hAnsi="Calibri"/>
                <w:b/>
                <w:color w:val="1E375A"/>
                <w:sz w:val="24"/>
              </w:rPr>
              <w:t>8.1 Pipeline Workflow &amp; Data Architecture</w:t>
            </w:r>
          </w:p>
          <w:p>
            <w:pPr>
              <w:spacing w:before="40" w:after="100" w:line="276" w:lineRule="auto"/>
              <w:jc w:val="both"/>
            </w:pPr>
            <w:r>
              <w:rPr>
                <w:rFonts w:ascii="Calibri" w:hAnsi="Calibri"/>
                <w:color w:val="222222"/>
                <w:sz w:val="22"/>
              </w:rPr>
              <w:t>The proposed framework executes a modular deep learning workflow engineered for high-resolution multi-label classification:</w:t>
            </w:r>
          </w:p>
          <w:p>
            <w:pPr>
              <w:spacing w:before="20" w:after="60" w:line="276" w:lineRule="auto"/>
              <w:ind w:left="360"/>
              <w:jc w:val="both"/>
            </w:pPr>
            <w:r>
              <w:rPr>
                <w:rFonts w:ascii="Calibri" w:hAnsi="Calibri"/>
                <w:b/>
                <w:color w:val="1E375A"/>
                <w:sz w:val="20"/>
              </w:rPr>
              <w:t xml:space="preserve">▪  </w:t>
            </w:r>
            <w:r>
              <w:rPr>
                <w:rFonts w:ascii="Calibri" w:hAnsi="Calibri"/>
                <w:color w:val="222222"/>
                <w:sz w:val="21"/>
              </w:rPr>
              <w:t>Patient-Level Dataset Split: Metadata from Data_Entry_2017.csv and train_val_list.txt is programmatically split by Patient ID: 68,918 images (61.47%) for training, 17,606 images (15.70%) for validation, and 25,596 images (22.83%) for unseen test evaluation.</w:t>
            </w:r>
          </w:p>
          <w:p>
            <w:pPr>
              <w:spacing w:before="20" w:after="60" w:line="276" w:lineRule="auto"/>
              <w:ind w:left="360"/>
              <w:jc w:val="both"/>
            </w:pPr>
            <w:r>
              <w:rPr>
                <w:rFonts w:ascii="Calibri" w:hAnsi="Calibri"/>
                <w:b/>
                <w:color w:val="1E375A"/>
                <w:sz w:val="20"/>
              </w:rPr>
              <w:t xml:space="preserve">▪  </w:t>
            </w:r>
            <w:r>
              <w:rPr>
                <w:rFonts w:ascii="Calibri" w:hAnsi="Calibri"/>
                <w:color w:val="222222"/>
                <w:sz w:val="21"/>
              </w:rPr>
              <w:t>Image Transformation: Images are loaded as 448×448px 3-channel tensors, augmented with random horizontal flips (p=0.5), rotation (±15°), scale cropping (0.8–1.0), and ColorJitter brightness/contrast adjustment (factor=0.15).</w:t>
            </w:r>
          </w:p>
          <w:p>
            <w:pPr>
              <w:spacing w:before="160" w:after="60"/>
              <w:jc w:val="left"/>
            </w:pPr>
            <w:r>
              <w:rPr>
                <w:rFonts w:ascii="Calibri" w:hAnsi="Calibri"/>
                <w:b/>
                <w:color w:val="1E375A"/>
                <w:sz w:val="24"/>
              </w:rPr>
              <w:t>8.2 Mathematical Loss Formulation</w:t>
            </w:r>
          </w:p>
          <w:p>
            <w:pPr>
              <w:spacing w:before="40" w:after="100" w:line="276" w:lineRule="auto"/>
              <w:jc w:val="both"/>
            </w:pPr>
            <w:r>
              <w:rPr>
                <w:rFonts w:ascii="Calibri" w:hAnsi="Calibri"/>
                <w:color w:val="222222"/>
                <w:sz w:val="22"/>
              </w:rPr>
              <w:t>Multi-label binary cross-entropy loss is calibrated using square-root damped class weights w_c to prevent extreme minority class penalties from dominating loss gradients:</w:t>
            </w:r>
          </w:p>
          <w:p>
            <w:pPr>
              <w:spacing w:before="40" w:after="100" w:line="276" w:lineRule="auto"/>
              <w:jc w:val="both"/>
            </w:pPr>
            <w:r>
              <w:rPr>
                <w:rFonts w:ascii="Calibri" w:hAnsi="Calibri"/>
                <w:b/>
                <w:color w:val="1E375A"/>
                <w:sz w:val="22"/>
              </w:rPr>
              <w:t xml:space="preserve">Calibrated BCE Loss Equation: </w:t>
            </w:r>
            <w:r>
              <w:rPr>
                <w:rFonts w:ascii="Calibri" w:hAnsi="Calibri"/>
                <w:color w:val="222222"/>
                <w:sz w:val="22"/>
              </w:rPr>
              <w:t>L_BCE = - (1/C) * sum_{c=1}^C w_c * [ y_c * log(sigma(z_c)) + (1 - y_c) * log(1 - sigma(z_c)) ], where w_c = sqrt( N_{neg,c} / N_{pos,c} )</w:t>
            </w:r>
          </w:p>
          <w:p>
            <w:pPr>
              <w:spacing w:before="160" w:after="60"/>
              <w:jc w:val="left"/>
            </w:pPr>
            <w:r>
              <w:rPr>
                <w:rFonts w:ascii="Calibri" w:hAnsi="Calibri"/>
                <w:b/>
                <w:color w:val="1E375A"/>
                <w:sz w:val="24"/>
              </w:rPr>
              <w:t>8.3 Training Protocol &amp; AMP Acceleration</w:t>
            </w:r>
          </w:p>
          <w:p>
            <w:pPr>
              <w:spacing w:before="40" w:after="100" w:line="276" w:lineRule="auto"/>
              <w:jc w:val="both"/>
            </w:pPr>
            <w:r>
              <w:rPr>
                <w:rFonts w:ascii="Calibri" w:hAnsi="Calibri"/>
                <w:color w:val="222222"/>
                <w:sz w:val="22"/>
              </w:rPr>
              <w:t>Models are trained using AdamW (lr=1e-4, weight_decay=1e-5). Epoch 1 freezes backbone convolutional layers to warm up the 14-disease linear classifier head. PyTorch GradScaler (float16 AMP) accelerates forward/backward passes by 2× and cuts VRAM usage by 50%.</w:t>
            </w:r>
          </w:p>
          <w:p>
            <w:pPr>
              <w:spacing w:before="160" w:after="60"/>
              <w:jc w:val="left"/>
            </w:pPr>
            <w:r>
              <w:rPr>
                <w:rFonts w:ascii="Calibri" w:hAnsi="Calibri"/>
                <w:b/>
                <w:color w:val="1E375A"/>
                <w:sz w:val="24"/>
              </w:rPr>
              <w:t>8.4 Model Architectures &amp; Soft-Voting Ensemble</w:t>
            </w:r>
          </w:p>
          <w:p>
            <w:pPr>
              <w:spacing w:before="40" w:after="100" w:line="276" w:lineRule="auto"/>
              <w:jc w:val="both"/>
            </w:pPr>
            <w:r>
              <w:rPr>
                <w:rFonts w:ascii="Calibri" w:hAnsi="Calibri"/>
                <w:color w:val="222222"/>
                <w:sz w:val="22"/>
              </w:rPr>
              <w:t>Four architectures were trained: DenseNet-121 (~7M), CheXNet (~7M), Swin-T (~28M), and ConvNeXt-Large (~198M). Predictions are aggregated via Weighted Soft-Voting with Test-Time Augmentation (TTA):</w:t>
            </w:r>
          </w:p>
          <w:p>
            <w:pPr>
              <w:spacing w:before="40" w:after="100" w:line="276" w:lineRule="auto"/>
              <w:jc w:val="both"/>
            </w:pPr>
            <w:r>
              <w:rPr>
                <w:rFonts w:ascii="Calibri" w:hAnsi="Calibri"/>
                <w:b/>
                <w:color w:val="1E375A"/>
                <w:sz w:val="22"/>
              </w:rPr>
              <w:t xml:space="preserve">Ensemble Probability Equation: </w:t>
            </w:r>
            <w:r>
              <w:rPr>
                <w:rFonts w:ascii="Calibri" w:hAnsi="Calibri"/>
                <w:color w:val="222222"/>
                <w:sz w:val="22"/>
              </w:rPr>
              <w:t>P_Ensemble = 0.35 * P_ConvNeXt-L + 0.30 * P_CheXNet + 0.175 * P_DenseNet121 + 0.175 * P_Swin-T</w:t>
            </w:r>
          </w:p>
          <w:p>
            <w:pPr>
              <w:spacing w:before="160" w:after="60"/>
              <w:jc w:val="left"/>
            </w:pPr>
            <w:r>
              <w:rPr>
                <w:rFonts w:ascii="Calibri" w:hAnsi="Calibri"/>
                <w:b/>
                <w:color w:val="1E375A"/>
                <w:sz w:val="24"/>
              </w:rPr>
              <w:t>8.5 Grad-CAM XAI &amp; Spatial Tensor Permutation</w:t>
            </w:r>
          </w:p>
          <w:p>
            <w:pPr>
              <w:spacing w:before="40" w:after="100" w:line="276" w:lineRule="auto"/>
              <w:jc w:val="both"/>
            </w:pPr>
            <w:r>
              <w:rPr>
                <w:rFonts w:ascii="Calibri" w:hAnsi="Calibri"/>
                <w:color w:val="222222"/>
                <w:sz w:val="22"/>
              </w:rPr>
              <w:t>Grad-CAM computes spatial activation maps over the final feature stage. For Swin-T Vision Transformer token tensors ([H, W, C]), spatial permutation np.transpose(activations, (2, 0, 1)) is applied to restore 2D spatial feature grids ([C, H, W]) before gradient backpropagation.</w:t>
            </w:r>
          </w:p>
        </w:tc>
      </w:tr>
    </w:tbl>
    <w:p w:rsidR="00A45CBE" w:rsidRDefault="00A45CBE"/>
    <w:p w:rsidR="009D1297" w:rsidRDefault="009D1297">
      <w:pPr>
        <w:pStyle w:val="Heading1"/>
      </w:pPr>
    </w:p>
    <w:p w:rsidR="00A45CBE" w:rsidRDefault="004873B5">
      <w:pPr>
        <w:pStyle w:val="Heading1"/>
      </w:pPr>
      <w:r>
        <w:t>9. Tools, Technologies, and Resources</w:t>
      </w:r>
    </w:p>
    <w:tbl>
      <w:tblPr>
        <w:tblW w:w="0" w:type="auto"/>
        <w:jc w:val="center"/>
        <w:tblLayout w:type="fixed"/>
        <w:tblLook w:val="04A0" w:firstRow="1" w:lastRow="0" w:firstColumn="1" w:lastColumn="0" w:noHBand="0" w:noVBand="1"/>
      </w:tblPr>
      <w:tblGrid>
        <w:gridCol w:w="9648"/>
      </w:tblGrid>
      <w:tr w:rsidR="00A45CBE">
        <w:trPr>
          <w:jc w:val="center"/>
        </w:trPr>
        <w:tc>
          <w:tcPr>
            <w:tcW w:w="9648" w:type="dxa"/>
            <w:shd w:val="clear" w:color="auto" w:fill="F5F7FA"/>
            <w:tcMar>
              <w:top w:w="120" w:type="dxa"/>
              <w:left w:w="140" w:type="dxa"/>
              <w:bottom w:w="120" w:type="dxa"/>
              <w:right w:w="140" w:type="dxa"/>
            </w:tcMar>
            <w:vAlign w:val="center"/>
          </w:tcPr>
          <w:p>
            <w:pPr>
              <w:spacing w:before="160" w:after="60"/>
              <w:jc w:val="left"/>
            </w:pPr>
            <w:r>
              <w:rPr>
                <w:rFonts w:ascii="Calibri" w:hAnsi="Calibri"/>
                <w:b/>
                <w:color w:val="1E375A"/>
                <w:sz w:val="24"/>
              </w:rPr>
              <w:t>9.1 Hardware &amp; Software Resource Specifications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1E375A"/>
                </w:tcPr>
                <w:p>
                  <w:pPr>
                    <w:jc w:val="center"/>
                  </w:pPr>
                  <w:r>
                    <w:rPr>
                      <w:rFonts w:ascii="Calibri" w:hAnsi="Calibri"/>
                      <w:b/>
                      <w:color w:val="FFFFFF"/>
                      <w:sz w:val="19"/>
                    </w:rPr>
                    <w:t>Category</w:t>
                  </w:r>
                </w:p>
              </w:tc>
              <w:tc>
                <w:tcPr>
                  <w:tcW w:type="dxa" w:w="2412"/>
                  <w:shd w:val="clear" w:color="auto" w:fill="1E375A"/>
                </w:tcPr>
                <w:p>
                  <w:pPr>
                    <w:jc w:val="center"/>
                  </w:pPr>
                  <w:r>
                    <w:rPr>
                      <w:rFonts w:ascii="Calibri" w:hAnsi="Calibri"/>
                      <w:b/>
                      <w:color w:val="FFFFFF"/>
                      <w:sz w:val="19"/>
                    </w:rPr>
                    <w:t>Tool / Resource Name</w:t>
                  </w:r>
                </w:p>
              </w:tc>
              <w:tc>
                <w:tcPr>
                  <w:tcW w:type="dxa" w:w="2412"/>
                  <w:shd w:val="clear" w:color="auto" w:fill="1E375A"/>
                </w:tcPr>
                <w:p>
                  <w:pPr>
                    <w:jc w:val="center"/>
                  </w:pPr>
                  <w:r>
                    <w:rPr>
                      <w:rFonts w:ascii="Calibri" w:hAnsi="Calibri"/>
                      <w:b/>
                      <w:color w:val="FFFFFF"/>
                      <w:sz w:val="19"/>
                    </w:rPr>
                    <w:t>Specification / Version</w:t>
                  </w:r>
                </w:p>
              </w:tc>
              <w:tc>
                <w:tcPr>
                  <w:tcW w:type="dxa" w:w="2412"/>
                  <w:shd w:val="clear" w:color="auto" w:fill="1E375A"/>
                </w:tcPr>
                <w:p>
                  <w:pPr>
                    <w:jc w:val="center"/>
                  </w:pPr>
                  <w:r>
                    <w:rPr>
                      <w:rFonts w:ascii="Calibri" w:hAnsi="Calibri"/>
                      <w:b/>
                      <w:color w:val="FFFFFF"/>
                      <w:sz w:val="19"/>
                    </w:rPr>
                    <w:t>Purpose in Project</w:t>
                  </w:r>
                </w:p>
              </w:tc>
            </w:tr>
            <w:tr>
              <w:tc>
                <w:tcPr>
                  <w:tcW w:type="dxa" w:w="2412"/>
                  <w:shd w:val="clear" w:color="auto" w:fill="FFFFFF"/>
                </w:tcPr>
                <w:p>
                  <w:pPr>
                    <w:jc w:val="center"/>
                  </w:pPr>
                  <w:r>
                    <w:rPr>
                      <w:rFonts w:ascii="Calibri" w:hAnsi="Calibri"/>
                      <w:color w:val="222222"/>
                      <w:sz w:val="19"/>
                    </w:rPr>
                    <w:t>Language</w:t>
                  </w:r>
                </w:p>
              </w:tc>
              <w:tc>
                <w:tcPr>
                  <w:tcW w:type="dxa" w:w="2412"/>
                  <w:shd w:val="clear" w:color="auto" w:fill="FFFFFF"/>
                </w:tcPr>
                <w:p>
                  <w:pPr>
                    <w:jc w:val="center"/>
                  </w:pPr>
                  <w:r>
                    <w:rPr>
                      <w:rFonts w:ascii="Calibri" w:hAnsi="Calibri"/>
                      <w:color w:val="222222"/>
                      <w:sz w:val="19"/>
                    </w:rPr>
                    <w:t>Python</w:t>
                  </w:r>
                </w:p>
              </w:tc>
              <w:tc>
                <w:tcPr>
                  <w:tcW w:type="dxa" w:w="2412"/>
                  <w:shd w:val="clear" w:color="auto" w:fill="FFFFFF"/>
                </w:tcPr>
                <w:p>
                  <w:pPr>
                    <w:jc w:val="center"/>
                  </w:pPr>
                  <w:r>
                    <w:rPr>
                      <w:rFonts w:ascii="Calibri" w:hAnsi="Calibri"/>
                      <w:color w:val="222222"/>
                      <w:sz w:val="19"/>
                    </w:rPr>
                    <w:t>3.11.x</w:t>
                  </w:r>
                </w:p>
              </w:tc>
              <w:tc>
                <w:tcPr>
                  <w:tcW w:type="dxa" w:w="2412"/>
                  <w:shd w:val="clear" w:color="auto" w:fill="FFFFFF"/>
                </w:tcPr>
                <w:p>
                  <w:pPr>
                    <w:jc w:val="center"/>
                  </w:pPr>
                  <w:r>
                    <w:rPr>
                      <w:rFonts w:ascii="Calibri" w:hAnsi="Calibri"/>
                      <w:color w:val="222222"/>
                      <w:sz w:val="19"/>
                    </w:rPr>
                    <w:t>Core programming runtime</w:t>
                  </w:r>
                </w:p>
              </w:tc>
            </w:tr>
            <w:tr>
              <w:tc>
                <w:tcPr>
                  <w:tcW w:type="dxa" w:w="2412"/>
                  <w:shd w:val="clear" w:color="auto" w:fill="F4F7FA"/>
                </w:tcPr>
                <w:p>
                  <w:pPr>
                    <w:jc w:val="center"/>
                  </w:pPr>
                  <w:r>
                    <w:rPr>
                      <w:rFonts w:ascii="Calibri" w:hAnsi="Calibri"/>
                      <w:color w:val="222222"/>
                      <w:sz w:val="19"/>
                    </w:rPr>
                    <w:t>DL Framework</w:t>
                  </w:r>
                </w:p>
              </w:tc>
              <w:tc>
                <w:tcPr>
                  <w:tcW w:type="dxa" w:w="2412"/>
                  <w:shd w:val="clear" w:color="auto" w:fill="F4F7FA"/>
                </w:tcPr>
                <w:p>
                  <w:pPr>
                    <w:jc w:val="center"/>
                  </w:pPr>
                  <w:r>
                    <w:rPr>
                      <w:rFonts w:ascii="Calibri" w:hAnsi="Calibri"/>
                      <w:color w:val="222222"/>
                      <w:sz w:val="19"/>
                    </w:rPr>
                    <w:t>PyTorch</w:t>
                  </w:r>
                </w:p>
              </w:tc>
              <w:tc>
                <w:tcPr>
                  <w:tcW w:type="dxa" w:w="2412"/>
                  <w:shd w:val="clear" w:color="auto" w:fill="F4F7FA"/>
                </w:tcPr>
                <w:p>
                  <w:pPr>
                    <w:jc w:val="center"/>
                  </w:pPr>
                  <w:r>
                    <w:rPr>
                      <w:rFonts w:ascii="Calibri" w:hAnsi="Calibri"/>
                      <w:color w:val="222222"/>
                      <w:sz w:val="19"/>
                    </w:rPr>
                    <w:t>2.x (CUDA 12.1)</w:t>
                  </w:r>
                </w:p>
              </w:tc>
              <w:tc>
                <w:tcPr>
                  <w:tcW w:type="dxa" w:w="2412"/>
                  <w:shd w:val="clear" w:color="auto" w:fill="F4F7FA"/>
                </w:tcPr>
                <w:p>
                  <w:pPr>
                    <w:jc w:val="center"/>
                  </w:pPr>
                  <w:r>
                    <w:rPr>
                      <w:rFonts w:ascii="Calibri" w:hAnsi="Calibri"/>
                      <w:color w:val="222222"/>
                      <w:sz w:val="19"/>
                    </w:rPr>
                    <w:t>Model building, AMP &amp; GPU training</w:t>
                  </w:r>
                </w:p>
              </w:tc>
            </w:tr>
            <w:tr>
              <w:tc>
                <w:tcPr>
                  <w:tcW w:type="dxa" w:w="2412"/>
                  <w:shd w:val="clear" w:color="auto" w:fill="FFFFFF"/>
                </w:tcPr>
                <w:p>
                  <w:pPr>
                    <w:jc w:val="center"/>
                  </w:pPr>
                  <w:r>
                    <w:rPr>
                      <w:rFonts w:ascii="Calibri" w:hAnsi="Calibri"/>
                      <w:color w:val="222222"/>
                      <w:sz w:val="19"/>
                    </w:rPr>
                    <w:t>Hardware</w:t>
                  </w:r>
                </w:p>
              </w:tc>
              <w:tc>
                <w:tcPr>
                  <w:tcW w:type="dxa" w:w="2412"/>
                  <w:shd w:val="clear" w:color="auto" w:fill="FFFFFF"/>
                </w:tcPr>
                <w:p>
                  <w:pPr>
                    <w:jc w:val="center"/>
                  </w:pPr>
                  <w:r>
                    <w:rPr>
                      <w:rFonts w:ascii="Calibri" w:hAnsi="Calibri"/>
                      <w:color w:val="222222"/>
                      <w:sz w:val="19"/>
                    </w:rPr>
                    <w:t>NVIDIA RTX 2000 Ada</w:t>
                  </w:r>
                </w:p>
              </w:tc>
              <w:tc>
                <w:tcPr>
                  <w:tcW w:type="dxa" w:w="2412"/>
                  <w:shd w:val="clear" w:color="auto" w:fill="FFFFFF"/>
                </w:tcPr>
                <w:p>
                  <w:pPr>
                    <w:jc w:val="center"/>
                  </w:pPr>
                  <w:r>
                    <w:rPr>
                      <w:rFonts w:ascii="Calibri" w:hAnsi="Calibri"/>
                      <w:color w:val="222222"/>
                      <w:sz w:val="19"/>
                    </w:rPr>
                    <w:t>16 GB VRAM, 68W TDP</w:t>
                  </w:r>
                </w:p>
              </w:tc>
              <w:tc>
                <w:tcPr>
                  <w:tcW w:type="dxa" w:w="2412"/>
                  <w:shd w:val="clear" w:color="auto" w:fill="FFFFFF"/>
                </w:tcPr>
                <w:p>
                  <w:pPr>
                    <w:jc w:val="center"/>
                  </w:pPr>
                  <w:r>
                    <w:rPr>
                      <w:rFonts w:ascii="Calibri" w:hAnsi="Calibri"/>
                      <w:color w:val="222222"/>
                      <w:sz w:val="19"/>
                    </w:rPr>
                    <w:t>Model fine-tuning &amp; inference</w:t>
                  </w:r>
                </w:p>
              </w:tc>
            </w:tr>
            <w:tr>
              <w:tc>
                <w:tcPr>
                  <w:tcW w:type="dxa" w:w="2412"/>
                  <w:shd w:val="clear" w:color="auto" w:fill="F4F7FA"/>
                </w:tcPr>
                <w:p>
                  <w:pPr>
                    <w:jc w:val="center"/>
                  </w:pPr>
                  <w:r>
                    <w:rPr>
                      <w:rFonts w:ascii="Calibri" w:hAnsi="Calibri"/>
                      <w:color w:val="222222"/>
                      <w:sz w:val="19"/>
                    </w:rPr>
                    <w:t>Precision</w:t>
                  </w:r>
                </w:p>
              </w:tc>
              <w:tc>
                <w:tcPr>
                  <w:tcW w:type="dxa" w:w="2412"/>
                  <w:shd w:val="clear" w:color="auto" w:fill="F4F7FA"/>
                </w:tcPr>
                <w:p>
                  <w:pPr>
                    <w:jc w:val="center"/>
                  </w:pPr>
                  <w:r>
                    <w:rPr>
                      <w:rFonts w:ascii="Calibri" w:hAnsi="Calibri"/>
                      <w:color w:val="222222"/>
                      <w:sz w:val="19"/>
                    </w:rPr>
                    <w:t>torch.cuda.amp</w:t>
                  </w:r>
                </w:p>
              </w:tc>
              <w:tc>
                <w:tcPr>
                  <w:tcW w:type="dxa" w:w="2412"/>
                  <w:shd w:val="clear" w:color="auto" w:fill="F4F7FA"/>
                </w:tcPr>
                <w:p>
                  <w:pPr>
                    <w:jc w:val="center"/>
                  </w:pPr>
                  <w:r>
                    <w:rPr>
                      <w:rFonts w:ascii="Calibri" w:hAnsi="Calibri"/>
                      <w:color w:val="222222"/>
                      <w:sz w:val="19"/>
                    </w:rPr>
                    <w:t>GradScaler (float16)</w:t>
                  </w:r>
                </w:p>
              </w:tc>
              <w:tc>
                <w:tcPr>
                  <w:tcW w:type="dxa" w:w="2412"/>
                  <w:shd w:val="clear" w:color="auto" w:fill="F4F7FA"/>
                </w:tcPr>
                <w:p>
                  <w:pPr>
                    <w:jc w:val="center"/>
                  </w:pPr>
                  <w:r>
                    <w:rPr>
                      <w:rFonts w:ascii="Calibri" w:hAnsi="Calibri"/>
                      <w:color w:val="222222"/>
                      <w:sz w:val="19"/>
                    </w:rPr>
                    <w:t>2x acceleration &amp; VRAM saving</w:t>
                  </w:r>
                </w:p>
              </w:tc>
            </w:tr>
            <w:tr>
              <w:tc>
                <w:tcPr>
                  <w:tcW w:type="dxa" w:w="2412"/>
                  <w:shd w:val="clear" w:color="auto" w:fill="FFFFFF"/>
                </w:tcPr>
                <w:p>
                  <w:pPr>
                    <w:jc w:val="center"/>
                  </w:pPr>
                  <w:r>
                    <w:rPr>
                      <w:rFonts w:ascii="Calibri" w:hAnsi="Calibri"/>
                      <w:color w:val="222222"/>
                      <w:sz w:val="19"/>
                    </w:rPr>
                    <w:t>Backbones</w:t>
                  </w:r>
                </w:p>
              </w:tc>
              <w:tc>
                <w:tcPr>
                  <w:tcW w:type="dxa" w:w="2412"/>
                  <w:shd w:val="clear" w:color="auto" w:fill="FFFFFF"/>
                </w:tcPr>
                <w:p>
                  <w:pPr>
                    <w:jc w:val="center"/>
                  </w:pPr>
                  <w:r>
                    <w:rPr>
                      <w:rFonts w:ascii="Calibri" w:hAnsi="Calibri"/>
                      <w:color w:val="222222"/>
                      <w:sz w:val="19"/>
                    </w:rPr>
                    <w:t>torchvision / timm</w:t>
                  </w:r>
                </w:p>
              </w:tc>
              <w:tc>
                <w:tcPr>
                  <w:tcW w:type="dxa" w:w="2412"/>
                  <w:shd w:val="clear" w:color="auto" w:fill="FFFFFF"/>
                </w:tcPr>
                <w:p>
                  <w:pPr>
                    <w:jc w:val="center"/>
                  </w:pPr>
                  <w:r>
                    <w:rPr>
                      <w:rFonts w:ascii="Calibri" w:hAnsi="Calibri"/>
                      <w:color w:val="222222"/>
                      <w:sz w:val="19"/>
                    </w:rPr>
                    <w:t>DenseNet, Swin-T, ConvNeXt-L</w:t>
                  </w:r>
                </w:p>
              </w:tc>
              <w:tc>
                <w:tcPr>
                  <w:tcW w:type="dxa" w:w="2412"/>
                  <w:shd w:val="clear" w:color="auto" w:fill="FFFFFF"/>
                </w:tcPr>
                <w:p>
                  <w:pPr>
                    <w:jc w:val="center"/>
                  </w:pPr>
                  <w:r>
                    <w:rPr>
                      <w:rFonts w:ascii="Calibri" w:hAnsi="Calibri"/>
                      <w:color w:val="222222"/>
                      <w:sz w:val="19"/>
                    </w:rPr>
                    <w:t>Model architecture factory</w:t>
                  </w:r>
                </w:p>
              </w:tc>
            </w:tr>
            <w:tr>
              <w:tc>
                <w:tcPr>
                  <w:tcW w:type="dxa" w:w="2412"/>
                  <w:shd w:val="clear" w:color="auto" w:fill="F4F7FA"/>
                </w:tcPr>
                <w:p>
                  <w:pPr>
                    <w:jc w:val="center"/>
                  </w:pPr>
                  <w:r>
                    <w:rPr>
                      <w:rFonts w:ascii="Calibri" w:hAnsi="Calibri"/>
                      <w:color w:val="222222"/>
                      <w:sz w:val="19"/>
                    </w:rPr>
                    <w:t>Explainability</w:t>
                  </w:r>
                </w:p>
              </w:tc>
              <w:tc>
                <w:tcPr>
                  <w:tcW w:type="dxa" w:w="2412"/>
                  <w:shd w:val="clear" w:color="auto" w:fill="F4F7FA"/>
                </w:tcPr>
                <w:p>
                  <w:pPr>
                    <w:jc w:val="center"/>
                  </w:pPr>
                  <w:r>
                    <w:rPr>
                      <w:rFonts w:ascii="Calibri" w:hAnsi="Calibri"/>
                      <w:color w:val="222222"/>
                      <w:sz w:val="19"/>
                    </w:rPr>
                    <w:t>Grad-CAM (Custom)</w:t>
                  </w:r>
                </w:p>
              </w:tc>
              <w:tc>
                <w:tcPr>
                  <w:tcW w:type="dxa" w:w="2412"/>
                  <w:shd w:val="clear" w:color="auto" w:fill="F4F7FA"/>
                </w:tcPr>
                <w:p>
                  <w:pPr>
                    <w:jc w:val="center"/>
                  </w:pPr>
                  <w:r>
                    <w:rPr>
                      <w:rFonts w:ascii="Calibri" w:hAnsi="Calibri"/>
                      <w:color w:val="222222"/>
                      <w:sz w:val="19"/>
                    </w:rPr>
                    <w:t>CNN + ViT permuted hooks</w:t>
                  </w:r>
                </w:p>
              </w:tc>
              <w:tc>
                <w:tcPr>
                  <w:tcW w:type="dxa" w:w="2412"/>
                  <w:shd w:val="clear" w:color="auto" w:fill="F4F7FA"/>
                </w:tcPr>
                <w:p>
                  <w:pPr>
                    <w:jc w:val="center"/>
                  </w:pPr>
                  <w:r>
                    <w:rPr>
                      <w:rFonts w:ascii="Calibri" w:hAnsi="Calibri"/>
                      <w:color w:val="222222"/>
                      <w:sz w:val="19"/>
                    </w:rPr>
                    <w:t>Anatomical visual heatmaps</w:t>
                  </w:r>
                </w:p>
              </w:tc>
            </w:tr>
            <w:tr>
              <w:tc>
                <w:tcPr>
                  <w:tcW w:type="dxa" w:w="2412"/>
                  <w:shd w:val="clear" w:color="auto" w:fill="FFFFFF"/>
                </w:tcPr>
                <w:p>
                  <w:pPr>
                    <w:jc w:val="center"/>
                  </w:pPr>
                  <w:r>
                    <w:rPr>
                      <w:rFonts w:ascii="Calibri" w:hAnsi="Calibri"/>
                      <w:color w:val="222222"/>
                      <w:sz w:val="19"/>
                    </w:rPr>
                    <w:t>Data Tools</w:t>
                  </w:r>
                </w:p>
              </w:tc>
              <w:tc>
                <w:tcPr>
                  <w:tcW w:type="dxa" w:w="2412"/>
                  <w:shd w:val="clear" w:color="auto" w:fill="FFFFFF"/>
                </w:tcPr>
                <w:p>
                  <w:pPr>
                    <w:jc w:val="center"/>
                  </w:pPr>
                  <w:r>
                    <w:rPr>
                      <w:rFonts w:ascii="Calibri" w:hAnsi="Calibri"/>
                      <w:color w:val="222222"/>
                      <w:sz w:val="19"/>
                    </w:rPr>
                    <w:t>pandas / NumPy / PIL</w:t>
                  </w:r>
                </w:p>
              </w:tc>
              <w:tc>
                <w:tcPr>
                  <w:tcW w:type="dxa" w:w="2412"/>
                  <w:shd w:val="clear" w:color="auto" w:fill="FFFFFF"/>
                </w:tcPr>
                <w:p>
                  <w:pPr>
                    <w:jc w:val="center"/>
                  </w:pPr>
                  <w:r>
                    <w:rPr>
                      <w:rFonts w:ascii="Calibri" w:hAnsi="Calibri"/>
                      <w:color w:val="222222"/>
                      <w:sz w:val="19"/>
                    </w:rPr>
                    <w:t>Metadata &amp; array processing</w:t>
                  </w:r>
                </w:p>
              </w:tc>
              <w:tc>
                <w:tcPr>
                  <w:tcW w:type="dxa" w:w="2412"/>
                  <w:shd w:val="clear" w:color="auto" w:fill="FFFFFF"/>
                </w:tcPr>
                <w:p>
                  <w:pPr>
                    <w:jc w:val="center"/>
                  </w:pPr>
                  <w:r>
                    <w:rPr>
                      <w:rFonts w:ascii="Calibri" w:hAnsi="Calibri"/>
                      <w:color w:val="222222"/>
                      <w:sz w:val="19"/>
                    </w:rPr>
                    <w:t>CSV parsing &amp; image pipeline</w:t>
                  </w:r>
                </w:p>
              </w:tc>
            </w:tr>
            <w:tr>
              <w:tc>
                <w:tcPr>
                  <w:tcW w:type="dxa" w:w="2412"/>
                  <w:shd w:val="clear" w:color="auto" w:fill="F4F7FA"/>
                </w:tcPr>
                <w:p>
                  <w:pPr>
                    <w:jc w:val="center"/>
                  </w:pPr>
                  <w:r>
                    <w:rPr>
                      <w:rFonts w:ascii="Calibri" w:hAnsi="Calibri"/>
                      <w:color w:val="222222"/>
                      <w:sz w:val="19"/>
                    </w:rPr>
                    <w:t>Visualization</w:t>
                  </w:r>
                </w:p>
              </w:tc>
              <w:tc>
                <w:tcPr>
                  <w:tcW w:type="dxa" w:w="2412"/>
                  <w:shd w:val="clear" w:color="auto" w:fill="F4F7FA"/>
                </w:tcPr>
                <w:p>
                  <w:pPr>
                    <w:jc w:val="center"/>
                  </w:pPr>
                  <w:r>
                    <w:rPr>
                      <w:rFonts w:ascii="Calibri" w:hAnsi="Calibri"/>
                      <w:color w:val="222222"/>
                      <w:sz w:val="19"/>
                    </w:rPr>
                    <w:t>Matplotlib / Seaborn</w:t>
                  </w:r>
                </w:p>
              </w:tc>
              <w:tc>
                <w:tcPr>
                  <w:tcW w:type="dxa" w:w="2412"/>
                  <w:shd w:val="clear" w:color="auto" w:fill="F4F7FA"/>
                </w:tcPr>
                <w:p>
                  <w:pPr>
                    <w:jc w:val="center"/>
                  </w:pPr>
                  <w:r>
                    <w:rPr>
                      <w:rFonts w:ascii="Calibri" w:hAnsi="Calibri"/>
                      <w:color w:val="222222"/>
                      <w:sz w:val="19"/>
                    </w:rPr>
                    <w:t>10 chart types per model</w:t>
                  </w:r>
                </w:p>
              </w:tc>
              <w:tc>
                <w:tcPr>
                  <w:tcW w:type="dxa" w:w="2412"/>
                  <w:shd w:val="clear" w:color="auto" w:fill="F4F7FA"/>
                </w:tcPr>
                <w:p>
                  <w:pPr>
                    <w:jc w:val="center"/>
                  </w:pPr>
                  <w:r>
                    <w:rPr>
                      <w:rFonts w:ascii="Calibri" w:hAnsi="Calibri"/>
                      <w:color w:val="222222"/>
                      <w:sz w:val="19"/>
                    </w:rPr>
                    <w:t>40 evaluation figures</w:t>
                  </w:r>
                </w:p>
              </w:tc>
            </w:tr>
            <w:tr>
              <w:tc>
                <w:tcPr>
                  <w:tcW w:type="dxa" w:w="2412"/>
                  <w:shd w:val="clear" w:color="auto" w:fill="FFFFFF"/>
                </w:tcPr>
                <w:p>
                  <w:pPr>
                    <w:jc w:val="center"/>
                  </w:pPr>
                  <w:r>
                    <w:rPr>
                      <w:rFonts w:ascii="Calibri" w:hAnsi="Calibri"/>
                      <w:color w:val="222222"/>
                      <w:sz w:val="19"/>
                    </w:rPr>
                    <w:t>Dataset</w:t>
                  </w:r>
                </w:p>
              </w:tc>
              <w:tc>
                <w:tcPr>
                  <w:tcW w:type="dxa" w:w="2412"/>
                  <w:shd w:val="clear" w:color="auto" w:fill="FFFFFF"/>
                </w:tcPr>
                <w:p>
                  <w:pPr>
                    <w:jc w:val="center"/>
                  </w:pPr>
                  <w:r>
                    <w:rPr>
                      <w:rFonts w:ascii="Calibri" w:hAnsi="Calibri"/>
                      <w:color w:val="222222"/>
                      <w:sz w:val="19"/>
                    </w:rPr>
                    <w:t>NIH ChestX-ray14</w:t>
                  </w:r>
                </w:p>
              </w:tc>
              <w:tc>
                <w:tcPr>
                  <w:tcW w:type="dxa" w:w="2412"/>
                  <w:shd w:val="clear" w:color="auto" w:fill="FFFFFF"/>
                </w:tcPr>
                <w:p>
                  <w:pPr>
                    <w:jc w:val="center"/>
                  </w:pPr>
                  <w:r>
                    <w:rPr>
                      <w:rFonts w:ascii="Calibri" w:hAnsi="Calibri"/>
                      <w:color w:val="222222"/>
                      <w:sz w:val="19"/>
                    </w:rPr>
                    <w:t>112,120 images / 30,805 patients</w:t>
                  </w:r>
                </w:p>
              </w:tc>
              <w:tc>
                <w:tcPr>
                  <w:tcW w:type="dxa" w:w="2412"/>
                  <w:shd w:val="clear" w:color="auto" w:fill="FFFFFF"/>
                </w:tcPr>
                <w:p>
                  <w:pPr>
                    <w:jc w:val="center"/>
                  </w:pPr>
                  <w:r>
                    <w:rPr>
                      <w:rFonts w:ascii="Calibri" w:hAnsi="Calibri"/>
                      <w:color w:val="222222"/>
                      <w:sz w:val="19"/>
                    </w:rPr>
                    <w:t>Training &amp; evaluation benchmark</w:t>
                  </w:r>
                </w:p>
              </w:tc>
            </w:tr>
            <w:tr>
              <w:tc>
                <w:tcPr>
                  <w:tcW w:type="dxa" w:w="2412"/>
                  <w:shd w:val="clear" w:color="auto" w:fill="F4F7FA"/>
                </w:tcPr>
                <w:p>
                  <w:pPr>
                    <w:jc w:val="center"/>
                  </w:pPr>
                  <w:r>
                    <w:rPr>
                      <w:rFonts w:ascii="Calibri" w:hAnsi="Calibri"/>
                      <w:color w:val="222222"/>
                      <w:sz w:val="19"/>
                    </w:rPr>
                    <w:t>Repository</w:t>
                  </w:r>
                </w:p>
              </w:tc>
              <w:tc>
                <w:tcPr>
                  <w:tcW w:type="dxa" w:w="2412"/>
                  <w:shd w:val="clear" w:color="auto" w:fill="F4F7FA"/>
                </w:tcPr>
                <w:p>
                  <w:pPr>
                    <w:jc w:val="center"/>
                  </w:pPr>
                  <w:r>
                    <w:rPr>
                      <w:rFonts w:ascii="Calibri" w:hAnsi="Calibri"/>
                      <w:color w:val="222222"/>
                      <w:sz w:val="19"/>
                    </w:rPr>
                    <w:t>Git / GitHub</w:t>
                  </w:r>
                </w:p>
              </w:tc>
              <w:tc>
                <w:tcPr>
                  <w:tcW w:type="dxa" w:w="2412"/>
                  <w:shd w:val="clear" w:color="auto" w:fill="F4F7FA"/>
                </w:tcPr>
                <w:p>
                  <w:pPr>
                    <w:jc w:val="center"/>
                  </w:pPr>
                  <w:r>
                    <w:rPr>
                      <w:rFonts w:ascii="Calibri" w:hAnsi="Calibri"/>
                      <w:color w:val="222222"/>
                      <w:sz w:val="19"/>
                    </w:rPr>
                    <w:t>markegyptian55-cloud/chestxray14</w:t>
                  </w:r>
                </w:p>
              </w:tc>
              <w:tc>
                <w:tcPr>
                  <w:tcW w:type="dxa" w:w="2412"/>
                  <w:shd w:val="clear" w:color="auto" w:fill="F4F7FA"/>
                </w:tcPr>
                <w:p>
                  <w:pPr>
                    <w:jc w:val="center"/>
                  </w:pPr>
                  <w:r>
                    <w:rPr>
                      <w:rFonts w:ascii="Calibri" w:hAnsi="Calibri"/>
                      <w:color w:val="222222"/>
                      <w:sz w:val="19"/>
                    </w:rPr>
                    <w:t>Open-source version control</w:t>
                  </w:r>
                </w:p>
              </w:tc>
            </w:tr>
            <w:tr>
              <w:tc>
                <w:tcPr>
                  <w:tcW w:type="dxa" w:w="2412"/>
                  <w:shd w:val="clear" w:color="auto" w:fill="FFFFFF"/>
                </w:tcPr>
                <w:p>
                  <w:pPr>
                    <w:jc w:val="center"/>
                  </w:pPr>
                  <w:r>
                    <w:rPr>
                      <w:rFonts w:ascii="Calibri" w:hAnsi="Calibri"/>
                      <w:color w:val="222222"/>
                      <w:sz w:val="19"/>
                    </w:rPr>
                    <w:t>Environment</w:t>
                  </w:r>
                </w:p>
              </w:tc>
              <w:tc>
                <w:tcPr>
                  <w:tcW w:type="dxa" w:w="2412"/>
                  <w:shd w:val="clear" w:color="auto" w:fill="FFFFFF"/>
                </w:tcPr>
                <w:p>
                  <w:pPr>
                    <w:jc w:val="center"/>
                  </w:pPr>
                  <w:r>
                    <w:rPr>
                      <w:rFonts w:ascii="Calibri" w:hAnsi="Calibri"/>
                      <w:color w:val="222222"/>
                      <w:sz w:val="19"/>
                    </w:rPr>
                    <w:t>Python venv</w:t>
                  </w:r>
                </w:p>
              </w:tc>
              <w:tc>
                <w:tcPr>
                  <w:tcW w:type="dxa" w:w="2412"/>
                  <w:shd w:val="clear" w:color="auto" w:fill="FFFFFF"/>
                </w:tcPr>
                <w:p>
                  <w:pPr>
                    <w:jc w:val="center"/>
                  </w:pPr>
                  <w:r>
                    <w:rPr>
                      <w:rFonts w:ascii="Calibri" w:hAnsi="Calibri"/>
                      <w:color w:val="222222"/>
                      <w:sz w:val="19"/>
                    </w:rPr>
                    <w:t>requirements.txt</w:t>
                  </w:r>
                </w:p>
              </w:tc>
              <w:tc>
                <w:tcPr>
                  <w:tcW w:type="dxa" w:w="2412"/>
                  <w:shd w:val="clear" w:color="auto" w:fill="FFFFFF"/>
                </w:tcPr>
                <w:p>
                  <w:pPr>
                    <w:jc w:val="center"/>
                  </w:pPr>
                  <w:r>
                    <w:rPr>
                      <w:rFonts w:ascii="Calibri" w:hAnsi="Calibri"/>
                      <w:color w:val="222222"/>
                      <w:sz w:val="19"/>
                    </w:rPr>
                    <w:t>Reproducible setup</w:t>
                  </w:r>
                </w:p>
              </w:tc>
            </w:tr>
            <w:tr>
              <w:tc>
                <w:tcPr>
                  <w:tcW w:type="dxa" w:w="2412"/>
                  <w:shd w:val="clear" w:color="auto" w:fill="F4F7FA"/>
                </w:tcPr>
                <w:p>
                  <w:pPr>
                    <w:jc w:val="center"/>
                  </w:pPr>
                  <w:r>
                    <w:rPr>
                      <w:rFonts w:ascii="Calibri" w:hAnsi="Calibri"/>
                      <w:color w:val="222222"/>
                      <w:sz w:val="19"/>
                    </w:rPr>
                    <w:t>Total Compute</w:t>
                  </w:r>
                </w:p>
              </w:tc>
              <w:tc>
                <w:tcPr>
                  <w:tcW w:type="dxa" w:w="2412"/>
                  <w:shd w:val="clear" w:color="auto" w:fill="F4F7FA"/>
                </w:tcPr>
                <w:p>
                  <w:pPr>
                    <w:jc w:val="center"/>
                  </w:pPr>
                  <w:r>
                    <w:rPr>
                      <w:rFonts w:ascii="Calibri" w:hAnsi="Calibri"/>
                      <w:color w:val="222222"/>
                      <w:sz w:val="19"/>
                    </w:rPr>
                    <w:t>GPU Execution</w:t>
                  </w:r>
                </w:p>
              </w:tc>
              <w:tc>
                <w:tcPr>
                  <w:tcW w:type="dxa" w:w="2412"/>
                  <w:shd w:val="clear" w:color="auto" w:fill="F4F7FA"/>
                </w:tcPr>
                <w:p>
                  <w:pPr>
                    <w:jc w:val="center"/>
                  </w:pPr>
                  <w:r>
                    <w:rPr>
                      <w:rFonts w:ascii="Calibri" w:hAnsi="Calibri"/>
                      <w:color w:val="222222"/>
                      <w:sz w:val="19"/>
                    </w:rPr>
                    <w:t>77 Hours 11 Minutes</w:t>
                  </w:r>
                </w:p>
              </w:tc>
              <w:tc>
                <w:tcPr>
                  <w:tcW w:type="dxa" w:w="2412"/>
                  <w:shd w:val="clear" w:color="auto" w:fill="F4F7FA"/>
                </w:tcPr>
                <w:p>
                  <w:pPr>
                    <w:jc w:val="center"/>
                  </w:pPr>
                  <w:r>
                    <w:rPr>
                      <w:rFonts w:ascii="Calibri" w:hAnsi="Calibri"/>
                      <w:color w:val="222222"/>
                      <w:sz w:val="19"/>
                    </w:rPr>
                    <w:t>Cumulative model training time</w:t>
                  </w:r>
                </w:p>
              </w:tc>
            </w:tr>
          </w:tbl>
          <w:p/>
          <w:p>
            <w:pPr>
              <w:spacing w:before="0" w:after="80"/>
            </w:pPr>
          </w:p>
        </w:tc>
      </w:tr>
    </w:tbl>
    <w:p w:rsidR="00A45CBE" w:rsidRDefault="00A45CBE"/>
    <w:p w:rsidR="009D1297" w:rsidRDefault="009D1297">
      <w:pPr>
        <w:pStyle w:val="Heading1"/>
      </w:pPr>
    </w:p>
    <w:p w:rsidR="00A45CBE" w:rsidRDefault="004873B5">
      <w:pPr>
        <w:pStyle w:val="Heading1"/>
      </w:pPr>
      <w:r>
        <w:t>10. Expected Deliverables</w:t>
      </w:r>
    </w:p>
    <w:tbl>
      <w:tblPr>
        <w:tblW w:w="0" w:type="auto"/>
        <w:jc w:val="center"/>
        <w:tblLayout w:type="fixed"/>
        <w:tblLook w:val="04A0" w:firstRow="1" w:lastRow="0" w:firstColumn="1" w:lastColumn="0" w:noHBand="0" w:noVBand="1"/>
      </w:tblPr>
      <w:tblGrid>
        <w:gridCol w:w="9648"/>
      </w:tblGrid>
      <w:tr w:rsidR="00A45CBE">
        <w:trPr>
          <w:jc w:val="center"/>
        </w:trPr>
        <w:tc>
          <w:tcPr>
            <w:tcW w:w="9648" w:type="dxa"/>
            <w:shd w:val="clear" w:color="auto" w:fill="F5F7FA"/>
            <w:tcMar>
              <w:top w:w="120" w:type="dxa"/>
              <w:left w:w="140" w:type="dxa"/>
              <w:bottom w:w="120" w:type="dxa"/>
              <w:right w:w="140" w:type="dxa"/>
            </w:tcMar>
            <w:vAlign w:val="center"/>
          </w:tcPr>
          <w:p>
            <w:pPr>
              <w:spacing w:before="160" w:after="60"/>
              <w:jc w:val="left"/>
            </w:pPr>
            <w:r>
              <w:rPr>
                <w:rFonts w:ascii="Calibri" w:hAnsi="Calibri"/>
                <w:b/>
                <w:color w:val="1E375A"/>
                <w:sz w:val="24"/>
              </w:rPr>
              <w:t>10.1 Verified Project Deliverables</w:t>
            </w:r>
          </w:p>
          <w:p>
            <w:pPr>
              <w:spacing w:before="20" w:after="60" w:line="276" w:lineRule="auto"/>
              <w:ind w:left="360"/>
              <w:jc w:val="both"/>
            </w:pPr>
            <w:r>
              <w:rPr>
                <w:rFonts w:ascii="Calibri" w:hAnsi="Calibri"/>
                <w:b/>
                <w:color w:val="1E375A"/>
                <w:sz w:val="20"/>
              </w:rPr>
              <w:t xml:space="preserve">▪  </w:t>
            </w:r>
            <w:r>
              <w:rPr>
                <w:rFonts w:ascii="Calibri" w:hAnsi="Calibri"/>
                <w:color w:val="222222"/>
                <w:sz w:val="21"/>
              </w:rPr>
              <w:t>Trained Model Checkpoints: 4 best_model_auc.pth files (DenseNet-121 84.75%, CheXNet 85.10%, Swin-T 84.47%, ConvNeXt-Large 85.24% RECORD).</w:t>
            </w:r>
          </w:p>
          <w:p>
            <w:pPr>
              <w:spacing w:before="20" w:after="60" w:line="276" w:lineRule="auto"/>
              <w:ind w:left="360"/>
              <w:jc w:val="both"/>
            </w:pPr>
            <w:r>
              <w:rPr>
                <w:rFonts w:ascii="Calibri" w:hAnsi="Calibri"/>
                <w:b/>
                <w:color w:val="1E375A"/>
                <w:sz w:val="20"/>
              </w:rPr>
              <w:t xml:space="preserve">▪  </w:t>
            </w:r>
            <w:r>
              <w:rPr>
                <w:rFonts w:ascii="Calibri" w:hAnsi="Calibri"/>
                <w:color w:val="222222"/>
                <w:sz w:val="21"/>
              </w:rPr>
              <w:t>Modular Source Code (src/): model.py, dataset.py, train.py, test.py, test-4-model.py, predict.py, visualize_dataset.py, visualize_model.py, visualize_gradcam.py.</w:t>
            </w:r>
          </w:p>
          <w:p>
            <w:pPr>
              <w:spacing w:before="20" w:after="60" w:line="276" w:lineRule="auto"/>
              <w:ind w:left="360"/>
              <w:jc w:val="both"/>
            </w:pPr>
            <w:r>
              <w:rPr>
                <w:rFonts w:ascii="Calibri" w:hAnsi="Calibri"/>
                <w:b/>
                <w:color w:val="1E375A"/>
                <w:sz w:val="20"/>
              </w:rPr>
              <w:t xml:space="preserve">▪  </w:t>
            </w:r>
            <w:r>
              <w:rPr>
                <w:rFonts w:ascii="Calibri" w:hAnsi="Calibri"/>
                <w:color w:val="222222"/>
                <w:sz w:val="21"/>
              </w:rPr>
              <w:t>Official Test Evaluation Reports: Evaluation metrics across all 25,596 test images for individual models and ensemble.</w:t>
            </w:r>
          </w:p>
          <w:p>
            <w:pPr>
              <w:spacing w:before="20" w:after="60" w:line="276" w:lineRule="auto"/>
              <w:ind w:left="360"/>
              <w:jc w:val="both"/>
            </w:pPr>
            <w:r>
              <w:rPr>
                <w:rFonts w:ascii="Calibri" w:hAnsi="Calibri"/>
                <w:b/>
                <w:color w:val="1E375A"/>
                <w:sz w:val="20"/>
              </w:rPr>
              <w:t xml:space="preserve">▪  </w:t>
            </w:r>
            <w:r>
              <w:rPr>
                <w:rFonts w:ascii="Calibri" w:hAnsi="Calibri"/>
                <w:color w:val="222222"/>
                <w:sz w:val="21"/>
              </w:rPr>
              <w:t>Visualization Suite: 40 model-specific charts (10 per architecture) plus 3 dataset-level analysis figures.</w:t>
            </w:r>
          </w:p>
          <w:p>
            <w:pPr>
              <w:spacing w:before="20" w:after="60" w:line="276" w:lineRule="auto"/>
              <w:ind w:left="360"/>
              <w:jc w:val="both"/>
            </w:pPr>
            <w:r>
              <w:rPr>
                <w:rFonts w:ascii="Calibri" w:hAnsi="Calibri"/>
                <w:b/>
                <w:color w:val="1E375A"/>
                <w:sz w:val="20"/>
              </w:rPr>
              <w:t xml:space="preserve">▪  </w:t>
            </w:r>
            <w:r>
              <w:rPr>
                <w:rFonts w:ascii="Calibri" w:hAnsi="Calibri"/>
                <w:color w:val="222222"/>
                <w:sz w:val="21"/>
              </w:rPr>
              <w:t>Grad-CAM Heatmap Cards: 10 visual explainability cards covering ConvNeXt-Large and Swin-T.</w:t>
            </w:r>
          </w:p>
          <w:p>
            <w:pPr>
              <w:spacing w:before="20" w:after="60" w:line="276" w:lineRule="auto"/>
              <w:ind w:left="360"/>
              <w:jc w:val="both"/>
            </w:pPr>
            <w:r>
              <w:rPr>
                <w:rFonts w:ascii="Calibri" w:hAnsi="Calibri"/>
                <w:b/>
                <w:color w:val="1E375A"/>
                <w:sz w:val="20"/>
              </w:rPr>
              <w:t xml:space="preserve">▪  </w:t>
            </w:r>
            <w:r>
              <w:rPr>
                <w:rFonts w:ascii="Calibri" w:hAnsi="Calibri"/>
                <w:color w:val="222222"/>
                <w:sz w:val="21"/>
              </w:rPr>
              <w:t>4-Model Ensemble Evaluator: test-4-model.py script achieving 83.72% Mean Test AUC.</w:t>
            </w:r>
          </w:p>
          <w:p>
            <w:pPr>
              <w:spacing w:before="20" w:after="60" w:line="276" w:lineRule="auto"/>
              <w:ind w:left="360"/>
              <w:jc w:val="both"/>
            </w:pPr>
            <w:r>
              <w:rPr>
                <w:rFonts w:ascii="Calibri" w:hAnsi="Calibri"/>
                <w:b/>
                <w:color w:val="1E375A"/>
                <w:sz w:val="20"/>
              </w:rPr>
              <w:t xml:space="preserve">▪  </w:t>
            </w:r>
            <w:r>
              <w:rPr>
                <w:rFonts w:ascii="Calibri" w:hAnsi="Calibri"/>
                <w:color w:val="222222"/>
                <w:sz w:val="21"/>
              </w:rPr>
              <w:t>Comprehensive Documentation: 22-chapter reference book (info/book.md), GitHub README.md, user command cheat sheet, and this final Microsoft Word document (info/final-decommentation.docx).</w:t>
            </w:r>
          </w:p>
        </w:tc>
      </w:tr>
    </w:tbl>
    <w:p w:rsidR="00A45CBE" w:rsidRDefault="00A45CBE"/>
    <w:p w:rsidR="009D1297" w:rsidRDefault="009D1297">
      <w:pPr>
        <w:pStyle w:val="Heading1"/>
      </w:pPr>
    </w:p>
    <w:p w:rsidR="00A45CBE" w:rsidRDefault="004873B5">
      <w:pPr>
        <w:pStyle w:val="Heading1"/>
      </w:pPr>
      <w:r>
        <w:t>11. Work Plan and Timeline</w:t>
      </w:r>
    </w:p>
    <w:tbl>
      <w:tblPr>
        <w:tblW w:w="0" w:type="auto"/>
        <w:jc w:val="center"/>
        <w:tblLayout w:type="fixed"/>
        <w:tblLook w:val="04A0" w:firstRow="1" w:lastRow="0" w:firstColumn="1" w:lastColumn="0" w:noHBand="0" w:noVBand="1"/>
      </w:tblPr>
      <w:tblGrid>
        <w:gridCol w:w="9648"/>
      </w:tblGrid>
      <w:tr w:rsidR="00A45CBE">
        <w:trPr>
          <w:jc w:val="center"/>
        </w:trPr>
        <w:tc>
          <w:tcPr>
            <w:tcW w:w="9648" w:type="dxa"/>
            <w:shd w:val="clear" w:color="auto" w:fill="F5F7FA"/>
            <w:tcMar>
              <w:top w:w="120" w:type="dxa"/>
              <w:left w:w="140" w:type="dxa"/>
              <w:bottom w:w="120" w:type="dxa"/>
              <w:right w:w="140" w:type="dxa"/>
            </w:tcMar>
            <w:vAlign w:val="center"/>
          </w:tcPr>
          <w:p>
            <w:pPr>
              <w:spacing w:before="160" w:after="60"/>
              <w:jc w:val="left"/>
            </w:pPr>
            <w:r>
              <w:rPr>
                <w:rFonts w:ascii="Calibri" w:hAnsi="Calibri"/>
                <w:b/>
                <w:color w:val="1E375A"/>
                <w:sz w:val="24"/>
              </w:rPr>
              <w:t>11.1 Project Execution Phases</w:t>
            </w:r>
          </w:p>
          <w:p>
            <w:pPr>
              <w:spacing w:before="40" w:after="100" w:line="276" w:lineRule="auto"/>
              <w:jc w:val="both"/>
            </w:pPr>
            <w:r>
              <w:rPr>
                <w:rFonts w:ascii="Calibri" w:hAnsi="Calibri"/>
                <w:color w:val="222222"/>
                <w:sz w:val="22"/>
              </w:rPr>
              <w:t>The project was executed across eight structured phases spanning setup, architecture engineering, multi-model GPU training, ensemble evaluation, XAI development, and documentation.</w:t>
            </w:r>
          </w:p>
        </w:tc>
      </w:tr>
    </w:tbl>
    <w:p w:rsidR="00A45CBE" w:rsidRDefault="00A45CBE"/>
    <w:p w:rsidR="00A45CBE" w:rsidRDefault="004873B5">
      <w:r>
        <w:rPr>
          <w:b/>
          <w:color w:val="1E375A"/>
        </w:rPr>
        <w:t>Suggested Work Plan</w:t>
      </w:r>
      <w:r>
        <w:rPr>
          <w:b/>
          <w:color w:val="1E375A"/>
        </w:rPr>
        <w:t xml:space="preserve"> Table</w:t>
      </w:r>
    </w:p>
    <w:tbl>
      <w:tblPr>
        <w:tblW w:w="0" w:type="auto"/>
        <w:jc w:val="center"/>
        <w:tblLayout w:type="fixed"/>
        <w:tblLook w:val="04A0" w:firstRow="1" w:lastRow="0" w:firstColumn="1" w:lastColumn="0" w:noHBand="0" w:noVBand="1"/>
      </w:tblPr>
      <w:tblGrid>
        <w:gridCol w:w="1152"/>
        <w:gridCol w:w="5328"/>
        <w:gridCol w:w="3168"/>
      </w:tblGrid>
      <w:tr w:rsidR="00A45CBE">
        <w:trPr>
          <w:jc w:val="center"/>
        </w:trPr>
        <w:tc>
          <w:tcPr>
            <w:tcW w:w="1152" w:type="dxa"/>
            <w:shd w:val="clear" w:color="auto" w:fill="DCE6F2"/>
            <w:tcMar>
              <w:top w:w="90" w:type="dxa"/>
              <w:left w:w="110" w:type="dxa"/>
              <w:bottom w:w="90" w:type="dxa"/>
              <w:right w:w="110" w:type="dxa"/>
            </w:tcMar>
          </w:tcPr>
          <w:p w:rsidR="00A45CBE" w:rsidRDefault="004873B5">
            <w:pPr>
              <w:jc w:val="center"/>
            </w:pPr>
            <w:r>
              <w:rPr>
                <w:b/>
                <w:color w:val="1E375A"/>
              </w:rPr>
              <w:t>No.</w:t>
            </w:r>
          </w:p>
        </w:tc>
        <w:tc>
          <w:tcPr>
            <w:tcW w:w="5328" w:type="dxa"/>
            <w:shd w:val="clear" w:color="auto" w:fill="DCE6F2"/>
            <w:tcMar>
              <w:top w:w="90" w:type="dxa"/>
              <w:left w:w="110" w:type="dxa"/>
              <w:bottom w:w="90" w:type="dxa"/>
              <w:right w:w="110" w:type="dxa"/>
            </w:tcMar>
          </w:tcPr>
          <w:p w:rsidR="00A45CBE" w:rsidRDefault="004873B5">
            <w:pPr>
              <w:jc w:val="center"/>
            </w:pPr>
            <w:r>
              <w:rPr>
                <w:b/>
                <w:color w:val="1E375A"/>
              </w:rPr>
              <w:t>Project Phase</w:t>
            </w:r>
          </w:p>
        </w:tc>
        <w:tc>
          <w:tcPr>
            <w:tcW w:w="3168" w:type="dxa"/>
            <w:shd w:val="clear" w:color="auto" w:fill="DCE6F2"/>
            <w:tcMar>
              <w:top w:w="90" w:type="dxa"/>
              <w:left w:w="110" w:type="dxa"/>
              <w:bottom w:w="90" w:type="dxa"/>
              <w:right w:w="110" w:type="dxa"/>
            </w:tcMar>
          </w:tcPr>
          <w:p w:rsidR="00A45CBE" w:rsidRDefault="004873B5">
            <w:pPr>
              <w:jc w:val="center"/>
            </w:pPr>
            <w:r>
              <w:rPr>
                <w:b/>
                <w:color w:val="1E375A"/>
              </w:rPr>
              <w:t>Planned Duration</w:t>
            </w:r>
          </w:p>
        </w:tc>
      </w:tr>
      <w:tr>
        <w:tc>
          <w:tcPr>
            <w:tcW w:type="dxa" w:w="1152"/>
            <w:shd w:val="clear" w:color="auto" w:fill="FFFFFF"/>
          </w:tcPr>
          <w:p>
            <w:pPr>
              <w:jc w:val="center"/>
            </w:pPr>
            <w:r>
              <w:rPr>
                <w:rFonts w:ascii="Calibri" w:hAnsi="Calibri"/>
                <w:color w:val="222222"/>
                <w:sz w:val="19"/>
              </w:rPr>
              <w:t>1</w:t>
            </w:r>
          </w:p>
        </w:tc>
        <w:tc>
          <w:tcPr>
            <w:tcW w:type="dxa" w:w="5328"/>
            <w:shd w:val="clear" w:color="auto" w:fill="FFFFFF"/>
          </w:tcPr>
          <w:p>
            <w:pPr>
              <w:jc w:val="left"/>
            </w:pPr>
            <w:r>
              <w:rPr>
                <w:rFonts w:ascii="Calibri" w:hAnsi="Calibri"/>
                <w:color w:val="222222"/>
                <w:sz w:val="19"/>
              </w:rPr>
              <w:t>Proposal &amp; Environment Setup</w:t>
              <w:br/>
              <w:t>(Setup PyTorch, CUDA, acquire NIH dataset, verify environment)</w:t>
            </w:r>
          </w:p>
        </w:tc>
        <w:tc>
          <w:tcPr>
            <w:tcW w:type="dxa" w:w="3168"/>
            <w:shd w:val="clear" w:color="auto" w:fill="FFFFFF"/>
          </w:tcPr>
          <w:p>
            <w:pPr>
              <w:jc w:val="center"/>
            </w:pPr>
            <w:r>
              <w:rPr>
                <w:rFonts w:ascii="Calibri" w:hAnsi="Calibri"/>
                <w:color w:val="222222"/>
                <w:sz w:val="19"/>
              </w:rPr>
              <w:t>Week 1 (July 2026)</w:t>
            </w:r>
          </w:p>
        </w:tc>
      </w:tr>
      <w:tr>
        <w:tc>
          <w:tcPr>
            <w:tcW w:type="dxa" w:w="1152"/>
            <w:shd w:val="clear" w:color="auto" w:fill="F4F7FA"/>
          </w:tcPr>
          <w:p>
            <w:pPr>
              <w:jc w:val="center"/>
            </w:pPr>
            <w:r>
              <w:rPr>
                <w:rFonts w:ascii="Calibri" w:hAnsi="Calibri"/>
                <w:color w:val="222222"/>
                <w:sz w:val="19"/>
              </w:rPr>
              <w:t>2</w:t>
            </w:r>
          </w:p>
        </w:tc>
        <w:tc>
          <w:tcPr>
            <w:tcW w:type="dxa" w:w="5328"/>
            <w:shd w:val="clear" w:color="auto" w:fill="F4F7FA"/>
          </w:tcPr>
          <w:p>
            <w:pPr>
              <w:jc w:val="left"/>
            </w:pPr>
            <w:r>
              <w:rPr>
                <w:rFonts w:ascii="Calibri" w:hAnsi="Calibri"/>
                <w:color w:val="222222"/>
                <w:sz w:val="19"/>
              </w:rPr>
              <w:t>Literature Review &amp; Gap Analysis</w:t>
              <w:br/>
              <w:t>(Review Wang 2017, CheXNet 2017, Swin-T 2021, ConvNeXt 2022)</w:t>
            </w:r>
          </w:p>
        </w:tc>
        <w:tc>
          <w:tcPr>
            <w:tcW w:type="dxa" w:w="3168"/>
            <w:shd w:val="clear" w:color="auto" w:fill="F4F7FA"/>
          </w:tcPr>
          <w:p>
            <w:pPr>
              <w:jc w:val="center"/>
            </w:pPr>
            <w:r>
              <w:rPr>
                <w:rFonts w:ascii="Calibri" w:hAnsi="Calibri"/>
                <w:color w:val="222222"/>
                <w:sz w:val="19"/>
              </w:rPr>
              <w:t>Week 1–2 (July 2026)</w:t>
            </w:r>
          </w:p>
        </w:tc>
      </w:tr>
      <w:tr>
        <w:tc>
          <w:tcPr>
            <w:tcW w:type="dxa" w:w="1152"/>
            <w:shd w:val="clear" w:color="auto" w:fill="FFFFFF"/>
          </w:tcPr>
          <w:p>
            <w:pPr>
              <w:jc w:val="center"/>
            </w:pPr>
            <w:r>
              <w:rPr>
                <w:rFonts w:ascii="Calibri" w:hAnsi="Calibri"/>
                <w:color w:val="222222"/>
                <w:sz w:val="19"/>
              </w:rPr>
              <w:t>3</w:t>
            </w:r>
          </w:p>
        </w:tc>
        <w:tc>
          <w:tcPr>
            <w:tcW w:type="dxa" w:w="5328"/>
            <w:shd w:val="clear" w:color="auto" w:fill="FFFFFF"/>
          </w:tcPr>
          <w:p>
            <w:pPr>
              <w:jc w:val="left"/>
            </w:pPr>
            <w:r>
              <w:rPr>
                <w:rFonts w:ascii="Calibri" w:hAnsi="Calibri"/>
                <w:color w:val="222222"/>
                <w:sz w:val="19"/>
              </w:rPr>
              <w:t>System Design &amp; Pipeline Engineering</w:t>
              <w:br/>
              <w:t>(Implement dataset.py, model.py, patient splits, damped loss, AMP)</w:t>
            </w:r>
          </w:p>
        </w:tc>
        <w:tc>
          <w:tcPr>
            <w:tcW w:type="dxa" w:w="3168"/>
            <w:shd w:val="clear" w:color="auto" w:fill="FFFFFF"/>
          </w:tcPr>
          <w:p>
            <w:pPr>
              <w:jc w:val="center"/>
            </w:pPr>
            <w:r>
              <w:rPr>
                <w:rFonts w:ascii="Calibri" w:hAnsi="Calibri"/>
                <w:color w:val="222222"/>
                <w:sz w:val="19"/>
              </w:rPr>
              <w:t>Week 2 (July 2026)</w:t>
            </w:r>
          </w:p>
        </w:tc>
      </w:tr>
      <w:tr>
        <w:tc>
          <w:tcPr>
            <w:tcW w:type="dxa" w:w="1152"/>
            <w:shd w:val="clear" w:color="auto" w:fill="F4F7FA"/>
          </w:tcPr>
          <w:p>
            <w:pPr>
              <w:jc w:val="center"/>
            </w:pPr>
            <w:r>
              <w:rPr>
                <w:rFonts w:ascii="Calibri" w:hAnsi="Calibri"/>
                <w:color w:val="222222"/>
                <w:sz w:val="19"/>
              </w:rPr>
              <w:t>4</w:t>
            </w:r>
          </w:p>
        </w:tc>
        <w:tc>
          <w:tcPr>
            <w:tcW w:type="dxa" w:w="5328"/>
            <w:shd w:val="clear" w:color="auto" w:fill="F4F7FA"/>
          </w:tcPr>
          <w:p>
            <w:pPr>
              <w:jc w:val="left"/>
            </w:pPr>
            <w:r>
              <w:rPr>
                <w:rFonts w:ascii="Calibri" w:hAnsi="Calibri"/>
                <w:color w:val="222222"/>
                <w:sz w:val="19"/>
              </w:rPr>
              <w:t>Phase 1 Fine-Tuning (Small Models)</w:t>
              <w:br/>
              <w:t>(Train DenseNet-121 (4.9h) &amp; CheXNet (18.5h) on GPU)</w:t>
            </w:r>
          </w:p>
        </w:tc>
        <w:tc>
          <w:tcPr>
            <w:tcW w:type="dxa" w:w="3168"/>
            <w:shd w:val="clear" w:color="auto" w:fill="F4F7FA"/>
          </w:tcPr>
          <w:p>
            <w:pPr>
              <w:jc w:val="center"/>
            </w:pPr>
            <w:r>
              <w:rPr>
                <w:rFonts w:ascii="Calibri" w:hAnsi="Calibri"/>
                <w:color w:val="222222"/>
                <w:sz w:val="19"/>
              </w:rPr>
              <w:t>July 18–22, 2026</w:t>
            </w:r>
          </w:p>
        </w:tc>
      </w:tr>
      <w:tr>
        <w:tc>
          <w:tcPr>
            <w:tcW w:type="dxa" w:w="1152"/>
            <w:shd w:val="clear" w:color="auto" w:fill="FFFFFF"/>
          </w:tcPr>
          <w:p>
            <w:pPr>
              <w:jc w:val="center"/>
            </w:pPr>
            <w:r>
              <w:rPr>
                <w:rFonts w:ascii="Calibri" w:hAnsi="Calibri"/>
                <w:color w:val="222222"/>
                <w:sz w:val="19"/>
              </w:rPr>
              <w:t>5</w:t>
            </w:r>
          </w:p>
        </w:tc>
        <w:tc>
          <w:tcPr>
            <w:tcW w:type="dxa" w:w="5328"/>
            <w:shd w:val="clear" w:color="auto" w:fill="FFFFFF"/>
          </w:tcPr>
          <w:p>
            <w:pPr>
              <w:jc w:val="left"/>
            </w:pPr>
            <w:r>
              <w:rPr>
                <w:rFonts w:ascii="Calibri" w:hAnsi="Calibri"/>
                <w:color w:val="222222"/>
                <w:sz w:val="19"/>
              </w:rPr>
              <w:t>Phase 2 Fine-Tuning (Large Models)</w:t>
              <w:br/>
              <w:t>(Train Swin-T (8.9h) &amp; ConvNeXt-Large (39.8h) — #1 Record)</w:t>
            </w:r>
          </w:p>
        </w:tc>
        <w:tc>
          <w:tcPr>
            <w:tcW w:type="dxa" w:w="3168"/>
            <w:shd w:val="clear" w:color="auto" w:fill="FFFFFF"/>
          </w:tcPr>
          <w:p>
            <w:pPr>
              <w:jc w:val="center"/>
            </w:pPr>
            <w:r>
              <w:rPr>
                <w:rFonts w:ascii="Calibri" w:hAnsi="Calibri"/>
                <w:color w:val="222222"/>
                <w:sz w:val="19"/>
              </w:rPr>
              <w:t>July 24–27, 2026</w:t>
            </w:r>
          </w:p>
        </w:tc>
      </w:tr>
      <w:tr>
        <w:tc>
          <w:tcPr>
            <w:tcW w:type="dxa" w:w="1152"/>
            <w:shd w:val="clear" w:color="auto" w:fill="F4F7FA"/>
          </w:tcPr>
          <w:p>
            <w:pPr>
              <w:jc w:val="center"/>
            </w:pPr>
            <w:r>
              <w:rPr>
                <w:rFonts w:ascii="Calibri" w:hAnsi="Calibri"/>
                <w:color w:val="222222"/>
                <w:sz w:val="19"/>
              </w:rPr>
              <w:t>6</w:t>
            </w:r>
          </w:p>
        </w:tc>
        <w:tc>
          <w:tcPr>
            <w:tcW w:type="dxa" w:w="5328"/>
            <w:shd w:val="clear" w:color="auto" w:fill="F4F7FA"/>
          </w:tcPr>
          <w:p>
            <w:pPr>
              <w:jc w:val="left"/>
            </w:pPr>
            <w:r>
              <w:rPr>
                <w:rFonts w:ascii="Calibri" w:hAnsi="Calibri"/>
                <w:color w:val="222222"/>
                <w:sz w:val="19"/>
              </w:rPr>
              <w:t>Ensemble Evaluation &amp; TTA</w:t>
              <w:br/>
              <w:t>(Execute 4-Model Soft-Voting Ensemble on 25,596 test scans)</w:t>
            </w:r>
          </w:p>
        </w:tc>
        <w:tc>
          <w:tcPr>
            <w:tcW w:type="dxa" w:w="3168"/>
            <w:shd w:val="clear" w:color="auto" w:fill="F4F7FA"/>
          </w:tcPr>
          <w:p>
            <w:pPr>
              <w:jc w:val="center"/>
            </w:pPr>
            <w:r>
              <w:rPr>
                <w:rFonts w:ascii="Calibri" w:hAnsi="Calibri"/>
                <w:color w:val="222222"/>
                <w:sz w:val="19"/>
              </w:rPr>
              <w:t>July 27, 2026</w:t>
            </w:r>
          </w:p>
        </w:tc>
      </w:tr>
      <w:tr>
        <w:tc>
          <w:tcPr>
            <w:tcW w:type="dxa" w:w="1152"/>
            <w:shd w:val="clear" w:color="auto" w:fill="FFFFFF"/>
          </w:tcPr>
          <w:p>
            <w:pPr>
              <w:jc w:val="center"/>
            </w:pPr>
            <w:r>
              <w:rPr>
                <w:rFonts w:ascii="Calibri" w:hAnsi="Calibri"/>
                <w:color w:val="222222"/>
                <w:sz w:val="19"/>
              </w:rPr>
              <w:t>7</w:t>
            </w:r>
          </w:p>
        </w:tc>
        <w:tc>
          <w:tcPr>
            <w:tcW w:type="dxa" w:w="5328"/>
            <w:shd w:val="clear" w:color="auto" w:fill="FFFFFF"/>
          </w:tcPr>
          <w:p>
            <w:pPr>
              <w:jc w:val="left"/>
            </w:pPr>
            <w:r>
              <w:rPr>
                <w:rFonts w:ascii="Calibri" w:hAnsi="Calibri"/>
                <w:color w:val="222222"/>
                <w:sz w:val="19"/>
              </w:rPr>
              <w:t>Grad-CAM XAI &amp; Visualizations</w:t>
              <w:br/>
              <w:t>(Develop Grad-CAM engine, tensor fix, generate 40 charts + 10 cards)</w:t>
            </w:r>
          </w:p>
        </w:tc>
        <w:tc>
          <w:tcPr>
            <w:tcW w:type="dxa" w:w="3168"/>
            <w:shd w:val="clear" w:color="auto" w:fill="FFFFFF"/>
          </w:tcPr>
          <w:p>
            <w:pPr>
              <w:jc w:val="center"/>
            </w:pPr>
            <w:r>
              <w:rPr>
                <w:rFonts w:ascii="Calibri" w:hAnsi="Calibri"/>
                <w:color w:val="222222"/>
                <w:sz w:val="19"/>
              </w:rPr>
              <w:t>July 25–27, 2026</w:t>
            </w:r>
          </w:p>
        </w:tc>
      </w:tr>
      <w:tr>
        <w:tc>
          <w:tcPr>
            <w:tcW w:type="dxa" w:w="1152"/>
            <w:shd w:val="clear" w:color="auto" w:fill="F4F7FA"/>
          </w:tcPr>
          <w:p>
            <w:pPr>
              <w:jc w:val="center"/>
            </w:pPr>
            <w:r>
              <w:rPr>
                <w:rFonts w:ascii="Calibri" w:hAnsi="Calibri"/>
                <w:color w:val="222222"/>
                <w:sz w:val="19"/>
              </w:rPr>
              <w:t>8</w:t>
            </w:r>
          </w:p>
        </w:tc>
        <w:tc>
          <w:tcPr>
            <w:tcW w:type="dxa" w:w="5328"/>
            <w:shd w:val="clear" w:color="auto" w:fill="F4F7FA"/>
          </w:tcPr>
          <w:p>
            <w:pPr>
              <w:jc w:val="left"/>
            </w:pPr>
            <w:r>
              <w:rPr>
                <w:rFonts w:ascii="Calibri" w:hAnsi="Calibri"/>
                <w:color w:val="222222"/>
                <w:sz w:val="19"/>
              </w:rPr>
              <w:t>GitHub Deployment &amp; Final Documentation</w:t>
              <w:br/>
              <w:t>(Push to GitHub repo, write info/book.md, README, and final docx)</w:t>
            </w:r>
          </w:p>
        </w:tc>
        <w:tc>
          <w:tcPr>
            <w:tcW w:type="dxa" w:w="3168"/>
            <w:shd w:val="clear" w:color="auto" w:fill="F4F7FA"/>
          </w:tcPr>
          <w:p>
            <w:pPr>
              <w:jc w:val="center"/>
            </w:pPr>
            <w:r>
              <w:rPr>
                <w:rFonts w:ascii="Calibri" w:hAnsi="Calibri"/>
                <w:color w:val="222222"/>
                <w:sz w:val="19"/>
              </w:rPr>
              <w:t>July 22–28, 2026</w:t>
            </w:r>
          </w:p>
        </w:tc>
      </w:tr>
    </w:tbl>
    <w:p w:rsidR="00A45CBE" w:rsidRDefault="00A45CBE"/>
    <w:p w:rsidR="00A45CBE" w:rsidRDefault="009D1297">
      <w:pPr>
        <w:pStyle w:val="Heading1"/>
      </w:pPr>
      <w:r>
        <w:t>12</w:t>
      </w:r>
      <w:r w:rsidR="004873B5">
        <w:t>. Conclusion</w:t>
      </w:r>
    </w:p>
    <w:tbl>
      <w:tblPr>
        <w:tblW w:w="0" w:type="auto"/>
        <w:jc w:val="center"/>
        <w:tblLayout w:type="fixed"/>
        <w:tblLook w:val="04A0" w:firstRow="1" w:lastRow="0" w:firstColumn="1" w:lastColumn="0" w:noHBand="0" w:noVBand="1"/>
      </w:tblPr>
      <w:tblGrid>
        <w:gridCol w:w="9648"/>
      </w:tblGrid>
      <w:tr w:rsidR="00A45CBE">
        <w:trPr>
          <w:jc w:val="center"/>
        </w:trPr>
        <w:tc>
          <w:tcPr>
            <w:tcW w:w="9648" w:type="dxa"/>
            <w:shd w:val="clear" w:color="auto" w:fill="F5F7FA"/>
            <w:tcMar>
              <w:top w:w="120" w:type="dxa"/>
              <w:left w:w="140" w:type="dxa"/>
              <w:bottom w:w="120" w:type="dxa"/>
              <w:right w:w="140" w:type="dxa"/>
            </w:tcMar>
            <w:vAlign w:val="center"/>
          </w:tcPr>
          <w:p>
            <w:pPr>
              <w:spacing w:before="160" w:after="60"/>
              <w:jc w:val="left"/>
            </w:pPr>
            <w:r>
              <w:rPr>
                <w:rFonts w:ascii="Calibri" w:hAnsi="Calibri"/>
                <w:b/>
                <w:color w:val="1E375A"/>
                <w:sz w:val="24"/>
              </w:rPr>
              <w:t>12.1 Master Single-Model Validation AUC Benchmark</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val="clear" w:color="auto" w:fill="1E375A"/>
                </w:tcPr>
                <w:p>
                  <w:pPr>
                    <w:jc w:val="center"/>
                  </w:pPr>
                  <w:r>
                    <w:rPr>
                      <w:rFonts w:ascii="Calibri" w:hAnsi="Calibri"/>
                      <w:b/>
                      <w:color w:val="FFFFFF"/>
                      <w:sz w:val="19"/>
                    </w:rPr>
                    <w:t>Rank</w:t>
                  </w:r>
                </w:p>
              </w:tc>
              <w:tc>
                <w:tcPr>
                  <w:tcW w:type="dxa" w:w="1378"/>
                  <w:shd w:val="clear" w:color="auto" w:fill="1E375A"/>
                </w:tcPr>
                <w:p>
                  <w:pPr>
                    <w:jc w:val="center"/>
                  </w:pPr>
                  <w:r>
                    <w:rPr>
                      <w:rFonts w:ascii="Calibri" w:hAnsi="Calibri"/>
                      <w:b/>
                      <w:color w:val="FFFFFF"/>
                      <w:sz w:val="19"/>
                    </w:rPr>
                    <w:t>Model Architecture</w:t>
                  </w:r>
                </w:p>
              </w:tc>
              <w:tc>
                <w:tcPr>
                  <w:tcW w:type="dxa" w:w="1378"/>
                  <w:shd w:val="clear" w:color="auto" w:fill="1E375A"/>
                </w:tcPr>
                <w:p>
                  <w:pPr>
                    <w:jc w:val="center"/>
                  </w:pPr>
                  <w:r>
                    <w:rPr>
                      <w:rFonts w:ascii="Calibri" w:hAnsi="Calibri"/>
                      <w:b/>
                      <w:color w:val="FFFFFF"/>
                      <w:sz w:val="19"/>
                    </w:rPr>
                    <w:t>Parameters</w:t>
                  </w:r>
                </w:p>
              </w:tc>
              <w:tc>
                <w:tcPr>
                  <w:tcW w:type="dxa" w:w="1378"/>
                  <w:shd w:val="clear" w:color="auto" w:fill="1E375A"/>
                </w:tcPr>
                <w:p>
                  <w:pPr>
                    <w:jc w:val="center"/>
                  </w:pPr>
                  <w:r>
                    <w:rPr>
                      <w:rFonts w:ascii="Calibri" w:hAnsi="Calibri"/>
                      <w:b/>
                      <w:color w:val="FFFFFF"/>
                      <w:sz w:val="19"/>
                    </w:rPr>
                    <w:t>Resolution</w:t>
                  </w:r>
                </w:p>
              </w:tc>
              <w:tc>
                <w:tcPr>
                  <w:tcW w:type="dxa" w:w="1378"/>
                  <w:shd w:val="clear" w:color="auto" w:fill="1E375A"/>
                </w:tcPr>
                <w:p>
                  <w:pPr>
                    <w:jc w:val="center"/>
                  </w:pPr>
                  <w:r>
                    <w:rPr>
                      <w:rFonts w:ascii="Calibri" w:hAnsi="Calibri"/>
                      <w:b/>
                      <w:color w:val="FFFFFF"/>
                      <w:sz w:val="19"/>
                    </w:rPr>
                    <w:t>Peak Val AUC</w:t>
                  </w:r>
                </w:p>
              </w:tc>
              <w:tc>
                <w:tcPr>
                  <w:tcW w:type="dxa" w:w="1378"/>
                  <w:shd w:val="clear" w:color="auto" w:fill="1E375A"/>
                </w:tcPr>
                <w:p>
                  <w:pPr>
                    <w:jc w:val="center"/>
                  </w:pPr>
                  <w:r>
                    <w:rPr>
                      <w:rFonts w:ascii="Calibri" w:hAnsi="Calibri"/>
                      <w:b/>
                      <w:color w:val="FFFFFF"/>
                      <w:sz w:val="19"/>
                    </w:rPr>
                    <w:t>Best Epoch</w:t>
                  </w:r>
                </w:p>
              </w:tc>
              <w:tc>
                <w:tcPr>
                  <w:tcW w:type="dxa" w:w="1378"/>
                  <w:shd w:val="clear" w:color="auto" w:fill="1E375A"/>
                </w:tcPr>
                <w:p>
                  <w:pPr>
                    <w:jc w:val="center"/>
                  </w:pPr>
                  <w:r>
                    <w:rPr>
                      <w:rFonts w:ascii="Calibri" w:hAnsi="Calibri"/>
                      <w:b/>
                      <w:color w:val="FFFFFF"/>
                      <w:sz w:val="19"/>
                    </w:rPr>
                    <w:t>Training Time</w:t>
                  </w:r>
                </w:p>
              </w:tc>
            </w:tr>
            <w:tr>
              <w:tc>
                <w:tcPr>
                  <w:tcW w:type="dxa" w:w="1378"/>
                  <w:shd w:val="clear" w:color="auto" w:fill="FFFFFF"/>
                </w:tcPr>
                <w:p>
                  <w:pPr>
                    <w:jc w:val="center"/>
                  </w:pPr>
                  <w:r>
                    <w:rPr>
                      <w:rFonts w:ascii="Calibri" w:hAnsi="Calibri"/>
                      <w:color w:val="222222"/>
                      <w:sz w:val="19"/>
                    </w:rPr>
                    <w:t>🥇 #1</w:t>
                  </w:r>
                </w:p>
              </w:tc>
              <w:tc>
                <w:tcPr>
                  <w:tcW w:type="dxa" w:w="1378"/>
                  <w:shd w:val="clear" w:color="auto" w:fill="FFFFFF"/>
                </w:tcPr>
                <w:p>
                  <w:pPr>
                    <w:jc w:val="center"/>
                  </w:pPr>
                  <w:r>
                    <w:rPr>
                      <w:rFonts w:ascii="Calibri" w:hAnsi="Calibri"/>
                      <w:color w:val="222222"/>
                      <w:sz w:val="19"/>
                    </w:rPr>
                    <w:t>ConvNeXt-Large</w:t>
                  </w:r>
                </w:p>
              </w:tc>
              <w:tc>
                <w:tcPr>
                  <w:tcW w:type="dxa" w:w="1378"/>
                  <w:shd w:val="clear" w:color="auto" w:fill="FFFFFF"/>
                </w:tcPr>
                <w:p>
                  <w:pPr>
                    <w:jc w:val="center"/>
                  </w:pPr>
                  <w:r>
                    <w:rPr>
                      <w:rFonts w:ascii="Calibri" w:hAnsi="Calibri"/>
                      <w:color w:val="222222"/>
                      <w:sz w:val="19"/>
                    </w:rPr>
                    <w:t>~198.0M</w:t>
                  </w:r>
                </w:p>
              </w:tc>
              <w:tc>
                <w:tcPr>
                  <w:tcW w:type="dxa" w:w="1378"/>
                  <w:shd w:val="clear" w:color="auto" w:fill="FFFFFF"/>
                </w:tcPr>
                <w:p>
                  <w:pPr>
                    <w:jc w:val="center"/>
                  </w:pPr>
                  <w:r>
                    <w:rPr>
                      <w:rFonts w:ascii="Calibri" w:hAnsi="Calibri"/>
                      <w:color w:val="222222"/>
                      <w:sz w:val="19"/>
                    </w:rPr>
                    <w:t>448 × 448 px</w:t>
                  </w:r>
                </w:p>
              </w:tc>
              <w:tc>
                <w:tcPr>
                  <w:tcW w:type="dxa" w:w="1378"/>
                  <w:shd w:val="clear" w:color="auto" w:fill="FFFFFF"/>
                </w:tcPr>
                <w:p>
                  <w:pPr>
                    <w:jc w:val="center"/>
                  </w:pPr>
                  <w:r>
                    <w:rPr>
                      <w:rFonts w:ascii="Calibri" w:hAnsi="Calibri"/>
                      <w:color w:val="222222"/>
                      <w:sz w:val="19"/>
                    </w:rPr>
                    <w:t>85.24% (NEW RECORD)</w:t>
                  </w:r>
                </w:p>
              </w:tc>
              <w:tc>
                <w:tcPr>
                  <w:tcW w:type="dxa" w:w="1378"/>
                  <w:shd w:val="clear" w:color="auto" w:fill="FFFFFF"/>
                </w:tcPr>
                <w:p>
                  <w:pPr>
                    <w:jc w:val="center"/>
                  </w:pPr>
                  <w:r>
                    <w:rPr>
                      <w:rFonts w:ascii="Calibri" w:hAnsi="Calibri"/>
                      <w:color w:val="222222"/>
                      <w:sz w:val="19"/>
                    </w:rPr>
                    <w:t>Epoch 8</w:t>
                  </w:r>
                </w:p>
              </w:tc>
              <w:tc>
                <w:tcPr>
                  <w:tcW w:type="dxa" w:w="1378"/>
                  <w:shd w:val="clear" w:color="auto" w:fill="FFFFFF"/>
                </w:tcPr>
                <w:p>
                  <w:pPr>
                    <w:jc w:val="center"/>
                  </w:pPr>
                  <w:r>
                    <w:rPr>
                      <w:rFonts w:ascii="Calibri" w:hAnsi="Calibri"/>
                      <w:color w:val="222222"/>
                      <w:sz w:val="19"/>
                    </w:rPr>
                    <w:t>39h 50m</w:t>
                  </w:r>
                </w:p>
              </w:tc>
            </w:tr>
            <w:tr>
              <w:tc>
                <w:tcPr>
                  <w:tcW w:type="dxa" w:w="1378"/>
                  <w:shd w:val="clear" w:color="auto" w:fill="F4F7FA"/>
                </w:tcPr>
                <w:p>
                  <w:pPr>
                    <w:jc w:val="center"/>
                  </w:pPr>
                  <w:r>
                    <w:rPr>
                      <w:rFonts w:ascii="Calibri" w:hAnsi="Calibri"/>
                      <w:color w:val="222222"/>
                      <w:sz w:val="19"/>
                    </w:rPr>
                    <w:t>🥈 #2</w:t>
                  </w:r>
                </w:p>
              </w:tc>
              <w:tc>
                <w:tcPr>
                  <w:tcW w:type="dxa" w:w="1378"/>
                  <w:shd w:val="clear" w:color="auto" w:fill="F4F7FA"/>
                </w:tcPr>
                <w:p>
                  <w:pPr>
                    <w:jc w:val="center"/>
                  </w:pPr>
                  <w:r>
                    <w:rPr>
                      <w:rFonts w:ascii="Calibri" w:hAnsi="Calibri"/>
                      <w:color w:val="222222"/>
                      <w:sz w:val="19"/>
                    </w:rPr>
                    <w:t>CheXNet (NIH Pre-trained)</w:t>
                  </w:r>
                </w:p>
              </w:tc>
              <w:tc>
                <w:tcPr>
                  <w:tcW w:type="dxa" w:w="1378"/>
                  <w:shd w:val="clear" w:color="auto" w:fill="F4F7FA"/>
                </w:tcPr>
                <w:p>
                  <w:pPr>
                    <w:jc w:val="center"/>
                  </w:pPr>
                  <w:r>
                    <w:rPr>
                      <w:rFonts w:ascii="Calibri" w:hAnsi="Calibri"/>
                      <w:color w:val="222222"/>
                      <w:sz w:val="19"/>
                    </w:rPr>
                    <w:t>~7.0M</w:t>
                  </w:r>
                </w:p>
              </w:tc>
              <w:tc>
                <w:tcPr>
                  <w:tcW w:type="dxa" w:w="1378"/>
                  <w:shd w:val="clear" w:color="auto" w:fill="F4F7FA"/>
                </w:tcPr>
                <w:p>
                  <w:pPr>
                    <w:jc w:val="center"/>
                  </w:pPr>
                  <w:r>
                    <w:rPr>
                      <w:rFonts w:ascii="Calibri" w:hAnsi="Calibri"/>
                      <w:color w:val="222222"/>
                      <w:sz w:val="19"/>
                    </w:rPr>
                    <w:t>448 × 448 px</w:t>
                  </w:r>
                </w:p>
              </w:tc>
              <w:tc>
                <w:tcPr>
                  <w:tcW w:type="dxa" w:w="1378"/>
                  <w:shd w:val="clear" w:color="auto" w:fill="F4F7FA"/>
                </w:tcPr>
                <w:p>
                  <w:pPr>
                    <w:jc w:val="center"/>
                  </w:pPr>
                  <w:r>
                    <w:rPr>
                      <w:rFonts w:ascii="Calibri" w:hAnsi="Calibri"/>
                      <w:color w:val="222222"/>
                      <w:sz w:val="19"/>
                    </w:rPr>
                    <w:t>85.10%</w:t>
                  </w:r>
                </w:p>
              </w:tc>
              <w:tc>
                <w:tcPr>
                  <w:tcW w:type="dxa" w:w="1378"/>
                  <w:shd w:val="clear" w:color="auto" w:fill="F4F7FA"/>
                </w:tcPr>
                <w:p>
                  <w:pPr>
                    <w:jc w:val="center"/>
                  </w:pPr>
                  <w:r>
                    <w:rPr>
                      <w:rFonts w:ascii="Calibri" w:hAnsi="Calibri"/>
                      <w:color w:val="222222"/>
                      <w:sz w:val="19"/>
                    </w:rPr>
                    <w:t>Epoch 11</w:t>
                  </w:r>
                </w:p>
              </w:tc>
              <w:tc>
                <w:tcPr>
                  <w:tcW w:type="dxa" w:w="1378"/>
                  <w:shd w:val="clear" w:color="auto" w:fill="F4F7FA"/>
                </w:tcPr>
                <w:p>
                  <w:pPr>
                    <w:jc w:val="center"/>
                  </w:pPr>
                  <w:r>
                    <w:rPr>
                      <w:rFonts w:ascii="Calibri" w:hAnsi="Calibri"/>
                      <w:color w:val="222222"/>
                      <w:sz w:val="19"/>
                    </w:rPr>
                    <w:t>18h 28m</w:t>
                  </w:r>
                </w:p>
              </w:tc>
            </w:tr>
            <w:tr>
              <w:tc>
                <w:tcPr>
                  <w:tcW w:type="dxa" w:w="1378"/>
                  <w:shd w:val="clear" w:color="auto" w:fill="FFFFFF"/>
                </w:tcPr>
                <w:p>
                  <w:pPr>
                    <w:jc w:val="center"/>
                  </w:pPr>
                  <w:r>
                    <w:rPr>
                      <w:rFonts w:ascii="Calibri" w:hAnsi="Calibri"/>
                      <w:color w:val="222222"/>
                      <w:sz w:val="19"/>
                    </w:rPr>
                    <w:t>🥉 #3</w:t>
                  </w:r>
                </w:p>
              </w:tc>
              <w:tc>
                <w:tcPr>
                  <w:tcW w:type="dxa" w:w="1378"/>
                  <w:shd w:val="clear" w:color="auto" w:fill="FFFFFF"/>
                </w:tcPr>
                <w:p>
                  <w:pPr>
                    <w:jc w:val="center"/>
                  </w:pPr>
                  <w:r>
                    <w:rPr>
                      <w:rFonts w:ascii="Calibri" w:hAnsi="Calibri"/>
                      <w:color w:val="222222"/>
                      <w:sz w:val="19"/>
                    </w:rPr>
                    <w:t>DenseNet-121 (Optimized)</w:t>
                  </w:r>
                </w:p>
              </w:tc>
              <w:tc>
                <w:tcPr>
                  <w:tcW w:type="dxa" w:w="1378"/>
                  <w:shd w:val="clear" w:color="auto" w:fill="FFFFFF"/>
                </w:tcPr>
                <w:p>
                  <w:pPr>
                    <w:jc w:val="center"/>
                  </w:pPr>
                  <w:r>
                    <w:rPr>
                      <w:rFonts w:ascii="Calibri" w:hAnsi="Calibri"/>
                      <w:color w:val="222222"/>
                      <w:sz w:val="19"/>
                    </w:rPr>
                    <w:t>~7.0M</w:t>
                  </w:r>
                </w:p>
              </w:tc>
              <w:tc>
                <w:tcPr>
                  <w:tcW w:type="dxa" w:w="1378"/>
                  <w:shd w:val="clear" w:color="auto" w:fill="FFFFFF"/>
                </w:tcPr>
                <w:p>
                  <w:pPr>
                    <w:jc w:val="center"/>
                  </w:pPr>
                  <w:r>
                    <w:rPr>
                      <w:rFonts w:ascii="Calibri" w:hAnsi="Calibri"/>
                      <w:color w:val="222222"/>
                      <w:sz w:val="19"/>
                    </w:rPr>
                    <w:t>448 × 448 px</w:t>
                  </w:r>
                </w:p>
              </w:tc>
              <w:tc>
                <w:tcPr>
                  <w:tcW w:type="dxa" w:w="1378"/>
                  <w:shd w:val="clear" w:color="auto" w:fill="FFFFFF"/>
                </w:tcPr>
                <w:p>
                  <w:pPr>
                    <w:jc w:val="center"/>
                  </w:pPr>
                  <w:r>
                    <w:rPr>
                      <w:rFonts w:ascii="Calibri" w:hAnsi="Calibri"/>
                      <w:color w:val="222222"/>
                      <w:sz w:val="19"/>
                    </w:rPr>
                    <w:t>84.75%</w:t>
                  </w:r>
                </w:p>
              </w:tc>
              <w:tc>
                <w:tcPr>
                  <w:tcW w:type="dxa" w:w="1378"/>
                  <w:shd w:val="clear" w:color="auto" w:fill="FFFFFF"/>
                </w:tcPr>
                <w:p>
                  <w:pPr>
                    <w:jc w:val="center"/>
                  </w:pPr>
                  <w:r>
                    <w:rPr>
                      <w:rFonts w:ascii="Calibri" w:hAnsi="Calibri"/>
                      <w:color w:val="222222"/>
                      <w:sz w:val="19"/>
                    </w:rPr>
                    <w:t>Epoch 13</w:t>
                  </w:r>
                </w:p>
              </w:tc>
              <w:tc>
                <w:tcPr>
                  <w:tcW w:type="dxa" w:w="1378"/>
                  <w:shd w:val="clear" w:color="auto" w:fill="FFFFFF"/>
                </w:tcPr>
                <w:p>
                  <w:pPr>
                    <w:jc w:val="center"/>
                  </w:pPr>
                  <w:r>
                    <w:rPr>
                      <w:rFonts w:ascii="Calibri" w:hAnsi="Calibri"/>
                      <w:color w:val="222222"/>
                      <w:sz w:val="19"/>
                    </w:rPr>
                    <w:t>4h 57m</w:t>
                  </w:r>
                </w:p>
              </w:tc>
            </w:tr>
            <w:tr>
              <w:tc>
                <w:tcPr>
                  <w:tcW w:type="dxa" w:w="1378"/>
                  <w:shd w:val="clear" w:color="auto" w:fill="F4F7FA"/>
                </w:tcPr>
                <w:p>
                  <w:pPr>
                    <w:jc w:val="center"/>
                  </w:pPr>
                  <w:r>
                    <w:rPr>
                      <w:rFonts w:ascii="Calibri" w:hAnsi="Calibri"/>
                      <w:color w:val="222222"/>
                      <w:sz w:val="19"/>
                    </w:rPr>
                    <w:t>🏅 #4</w:t>
                  </w:r>
                </w:p>
              </w:tc>
              <w:tc>
                <w:tcPr>
                  <w:tcW w:type="dxa" w:w="1378"/>
                  <w:shd w:val="clear" w:color="auto" w:fill="F4F7FA"/>
                </w:tcPr>
                <w:p>
                  <w:pPr>
                    <w:jc w:val="center"/>
                  </w:pPr>
                  <w:r>
                    <w:rPr>
                      <w:rFonts w:ascii="Calibri" w:hAnsi="Calibri"/>
                      <w:color w:val="222222"/>
                      <w:sz w:val="19"/>
                    </w:rPr>
                    <w:t>Swin-T Transformer</w:t>
                  </w:r>
                </w:p>
              </w:tc>
              <w:tc>
                <w:tcPr>
                  <w:tcW w:type="dxa" w:w="1378"/>
                  <w:shd w:val="clear" w:color="auto" w:fill="F4F7FA"/>
                </w:tcPr>
                <w:p>
                  <w:pPr>
                    <w:jc w:val="center"/>
                  </w:pPr>
                  <w:r>
                    <w:rPr>
                      <w:rFonts w:ascii="Calibri" w:hAnsi="Calibri"/>
                      <w:color w:val="222222"/>
                      <w:sz w:val="19"/>
                    </w:rPr>
                    <w:t>~28.0M</w:t>
                  </w:r>
                </w:p>
              </w:tc>
              <w:tc>
                <w:tcPr>
                  <w:tcW w:type="dxa" w:w="1378"/>
                  <w:shd w:val="clear" w:color="auto" w:fill="F4F7FA"/>
                </w:tcPr>
                <w:p>
                  <w:pPr>
                    <w:jc w:val="center"/>
                  </w:pPr>
                  <w:r>
                    <w:rPr>
                      <w:rFonts w:ascii="Calibri" w:hAnsi="Calibri"/>
                      <w:color w:val="222222"/>
                      <w:sz w:val="19"/>
                    </w:rPr>
                    <w:t>448 × 448 px</w:t>
                  </w:r>
                </w:p>
              </w:tc>
              <w:tc>
                <w:tcPr>
                  <w:tcW w:type="dxa" w:w="1378"/>
                  <w:shd w:val="clear" w:color="auto" w:fill="F4F7FA"/>
                </w:tcPr>
                <w:p>
                  <w:pPr>
                    <w:jc w:val="center"/>
                  </w:pPr>
                  <w:r>
                    <w:rPr>
                      <w:rFonts w:ascii="Calibri" w:hAnsi="Calibri"/>
                      <w:color w:val="222222"/>
                      <w:sz w:val="19"/>
                    </w:rPr>
                    <w:t>84.47%</w:t>
                  </w:r>
                </w:p>
              </w:tc>
              <w:tc>
                <w:tcPr>
                  <w:tcW w:type="dxa" w:w="1378"/>
                  <w:shd w:val="clear" w:color="auto" w:fill="F4F7FA"/>
                </w:tcPr>
                <w:p>
                  <w:pPr>
                    <w:jc w:val="center"/>
                  </w:pPr>
                  <w:r>
                    <w:rPr>
                      <w:rFonts w:ascii="Calibri" w:hAnsi="Calibri"/>
                      <w:color w:val="222222"/>
                      <w:sz w:val="19"/>
                    </w:rPr>
                    <w:t>Epoch 14</w:t>
                  </w:r>
                </w:p>
              </w:tc>
              <w:tc>
                <w:tcPr>
                  <w:tcW w:type="dxa" w:w="1378"/>
                  <w:shd w:val="clear" w:color="auto" w:fill="F4F7FA"/>
                </w:tcPr>
                <w:p>
                  <w:pPr>
                    <w:jc w:val="center"/>
                  </w:pPr>
                  <w:r>
                    <w:rPr>
                      <w:rFonts w:ascii="Calibri" w:hAnsi="Calibri"/>
                      <w:color w:val="222222"/>
                      <w:sz w:val="19"/>
                    </w:rPr>
                    <w:t>8h 56m</w:t>
                  </w:r>
                </w:p>
              </w:tc>
            </w:tr>
            <w:tr>
              <w:tc>
                <w:tcPr>
                  <w:tcW w:type="dxa" w:w="1378"/>
                  <w:shd w:val="clear" w:color="auto" w:fill="FFFFFF"/>
                </w:tcPr>
                <w:p>
                  <w:pPr>
                    <w:jc w:val="center"/>
                  </w:pPr>
                  <w:r>
                    <w:rPr>
                      <w:rFonts w:ascii="Calibri" w:hAnsi="Calibri"/>
                      <w:color w:val="222222"/>
                      <w:sz w:val="19"/>
                    </w:rPr>
                    <w:t>Ref.</w:t>
                  </w:r>
                </w:p>
              </w:tc>
              <w:tc>
                <w:tcPr>
                  <w:tcW w:type="dxa" w:w="1378"/>
                  <w:shd w:val="clear" w:color="auto" w:fill="FFFFFF"/>
                </w:tcPr>
                <w:p>
                  <w:pPr>
                    <w:jc w:val="center"/>
                  </w:pPr>
                  <w:r>
                    <w:rPr>
                      <w:rFonts w:ascii="Calibri" w:hAnsi="Calibri"/>
                      <w:color w:val="222222"/>
                      <w:sz w:val="19"/>
                    </w:rPr>
                    <w:t>Stanford CheXNet (2017)</w:t>
                  </w:r>
                </w:p>
              </w:tc>
              <w:tc>
                <w:tcPr>
                  <w:tcW w:type="dxa" w:w="1378"/>
                  <w:shd w:val="clear" w:color="auto" w:fill="FFFFFF"/>
                </w:tcPr>
                <w:p>
                  <w:pPr>
                    <w:jc w:val="center"/>
                  </w:pPr>
                  <w:r>
                    <w:rPr>
                      <w:rFonts w:ascii="Calibri" w:hAnsi="Calibri"/>
                      <w:color w:val="222222"/>
                      <w:sz w:val="19"/>
                    </w:rPr>
                    <w:t>~7.0M</w:t>
                  </w:r>
                </w:p>
              </w:tc>
              <w:tc>
                <w:tcPr>
                  <w:tcW w:type="dxa" w:w="1378"/>
                  <w:shd w:val="clear" w:color="auto" w:fill="FFFFFF"/>
                </w:tcPr>
                <w:p>
                  <w:pPr>
                    <w:jc w:val="center"/>
                  </w:pPr>
                  <w:r>
                    <w:rPr>
                      <w:rFonts w:ascii="Calibri" w:hAnsi="Calibri"/>
                      <w:color w:val="222222"/>
                      <w:sz w:val="19"/>
                    </w:rPr>
                    <w:t>224 × 224 px</w:t>
                  </w:r>
                </w:p>
              </w:tc>
              <w:tc>
                <w:tcPr>
                  <w:tcW w:type="dxa" w:w="1378"/>
                  <w:shd w:val="clear" w:color="auto" w:fill="FFFFFF"/>
                </w:tcPr>
                <w:p>
                  <w:pPr>
                    <w:jc w:val="center"/>
                  </w:pPr>
                  <w:r>
                    <w:rPr>
                      <w:rFonts w:ascii="Calibri" w:hAnsi="Calibri"/>
                      <w:color w:val="222222"/>
                      <w:sz w:val="19"/>
                    </w:rPr>
                    <w:t>84.13% (PAPER)</w:t>
                  </w:r>
                </w:p>
              </w:tc>
              <w:tc>
                <w:tcPr>
                  <w:tcW w:type="dxa" w:w="1378"/>
                  <w:shd w:val="clear" w:color="auto" w:fill="FFFFFF"/>
                </w:tcPr>
                <w:p>
                  <w:pPr>
                    <w:jc w:val="center"/>
                  </w:pPr>
                  <w:r>
                    <w:rPr>
                      <w:rFonts w:ascii="Calibri" w:hAnsi="Calibri"/>
                      <w:color w:val="222222"/>
                      <w:sz w:val="19"/>
                    </w:rPr>
                    <w:t>—</w:t>
                  </w:r>
                </w:p>
              </w:tc>
              <w:tc>
                <w:tcPr>
                  <w:tcW w:type="dxa" w:w="1378"/>
                  <w:shd w:val="clear" w:color="auto" w:fill="FFFFFF"/>
                </w:tcPr>
                <w:p>
                  <w:pPr>
                    <w:jc w:val="center"/>
                  </w:pPr>
                  <w:r>
                    <w:rPr>
                      <w:rFonts w:ascii="Calibri" w:hAnsi="Calibri"/>
                      <w:color w:val="222222"/>
                      <w:sz w:val="19"/>
                    </w:rPr>
                    <w:t>—</w:t>
                  </w:r>
                </w:p>
              </w:tc>
            </w:tr>
            <w:tr>
              <w:tc>
                <w:tcPr>
                  <w:tcW w:type="dxa" w:w="1378"/>
                  <w:shd w:val="clear" w:color="auto" w:fill="F4F7FA"/>
                </w:tcPr>
                <w:p>
                  <w:pPr>
                    <w:jc w:val="center"/>
                  </w:pPr>
                  <w:r>
                    <w:rPr>
                      <w:rFonts w:ascii="Calibri" w:hAnsi="Calibri"/>
                      <w:color w:val="222222"/>
                      <w:sz w:val="19"/>
                    </w:rPr>
                    <w:t>Ref.</w:t>
                  </w:r>
                </w:p>
              </w:tc>
              <w:tc>
                <w:tcPr>
                  <w:tcW w:type="dxa" w:w="1378"/>
                  <w:shd w:val="clear" w:color="auto" w:fill="F4F7FA"/>
                </w:tcPr>
                <w:p>
                  <w:pPr>
                    <w:jc w:val="center"/>
                  </w:pPr>
                  <w:r>
                    <w:rPr>
                      <w:rFonts w:ascii="Calibri" w:hAnsi="Calibri"/>
                      <w:color w:val="222222"/>
                      <w:sz w:val="19"/>
                    </w:rPr>
                    <w:t>NIH Baseline (Wang et al.)</w:t>
                  </w:r>
                </w:p>
              </w:tc>
              <w:tc>
                <w:tcPr>
                  <w:tcW w:type="dxa" w:w="1378"/>
                  <w:shd w:val="clear" w:color="auto" w:fill="F4F7FA"/>
                </w:tcPr>
                <w:p>
                  <w:pPr>
                    <w:jc w:val="center"/>
                  </w:pPr>
                  <w:r>
                    <w:rPr>
                      <w:rFonts w:ascii="Calibri" w:hAnsi="Calibri"/>
                      <w:color w:val="222222"/>
                      <w:sz w:val="19"/>
                    </w:rPr>
                    <w:t>DenseNet-121</w:t>
                  </w:r>
                </w:p>
              </w:tc>
              <w:tc>
                <w:tcPr>
                  <w:tcW w:type="dxa" w:w="1378"/>
                  <w:shd w:val="clear" w:color="auto" w:fill="F4F7FA"/>
                </w:tcPr>
                <w:p>
                  <w:pPr>
                    <w:jc w:val="center"/>
                  </w:pPr>
                  <w:r>
                    <w:rPr>
                      <w:rFonts w:ascii="Calibri" w:hAnsi="Calibri"/>
                      <w:color w:val="222222"/>
                      <w:sz w:val="19"/>
                    </w:rPr>
                    <w:t>224 × 224 px</w:t>
                  </w:r>
                </w:p>
              </w:tc>
              <w:tc>
                <w:tcPr>
                  <w:tcW w:type="dxa" w:w="1378"/>
                  <w:shd w:val="clear" w:color="auto" w:fill="F4F7FA"/>
                </w:tcPr>
                <w:p>
                  <w:pPr>
                    <w:jc w:val="center"/>
                  </w:pPr>
                  <w:r>
                    <w:rPr>
                      <w:rFonts w:ascii="Calibri" w:hAnsi="Calibri"/>
                      <w:color w:val="222222"/>
                      <w:sz w:val="19"/>
                    </w:rPr>
                    <w:t>74.51% (PAPER)</w:t>
                  </w:r>
                </w:p>
              </w:tc>
              <w:tc>
                <w:tcPr>
                  <w:tcW w:type="dxa" w:w="1378"/>
                  <w:shd w:val="clear" w:color="auto" w:fill="F4F7FA"/>
                </w:tcPr>
                <w:p>
                  <w:pPr>
                    <w:jc w:val="center"/>
                  </w:pPr>
                  <w:r>
                    <w:rPr>
                      <w:rFonts w:ascii="Calibri" w:hAnsi="Calibri"/>
                      <w:color w:val="222222"/>
                      <w:sz w:val="19"/>
                    </w:rPr>
                    <w:t>—</w:t>
                  </w:r>
                </w:p>
              </w:tc>
              <w:tc>
                <w:tcPr>
                  <w:tcW w:type="dxa" w:w="1378"/>
                  <w:shd w:val="clear" w:color="auto" w:fill="F4F7FA"/>
                </w:tcPr>
                <w:p>
                  <w:pPr>
                    <w:jc w:val="center"/>
                  </w:pPr>
                  <w:r>
                    <w:rPr>
                      <w:rFonts w:ascii="Calibri" w:hAnsi="Calibri"/>
                      <w:color w:val="222222"/>
                      <w:sz w:val="19"/>
                    </w:rPr>
                    <w:t>—</w:t>
                  </w:r>
                </w:p>
              </w:tc>
            </w:tr>
          </w:tbl>
          <w:p/>
          <w:p>
            <w:pPr>
              <w:spacing w:before="0" w:after="80"/>
            </w:pPr>
          </w:p>
          <w:p>
            <w:pPr>
              <w:spacing w:before="160" w:after="60"/>
              <w:jc w:val="left"/>
            </w:pPr>
            <w:r>
              <w:rPr>
                <w:rFonts w:ascii="Calibri" w:hAnsi="Calibri"/>
                <w:b/>
                <w:color w:val="1E375A"/>
                <w:sz w:val="24"/>
              </w:rPr>
              <w:t>12.2 Official Test Set AUC-ROC Scores per Pathology (25,596 Scans)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1E375A"/>
                </w:tcPr>
                <w:p>
                  <w:pPr>
                    <w:jc w:val="center"/>
                  </w:pPr>
                  <w:r>
                    <w:rPr>
                      <w:rFonts w:ascii="Calibri" w:hAnsi="Calibri"/>
                      <w:b/>
                      <w:color w:val="FFFFFF"/>
                      <w:sz w:val="19"/>
                    </w:rPr>
                    <w:t>Pathology / Disease</w:t>
                  </w:r>
                </w:p>
              </w:tc>
              <w:tc>
                <w:tcPr>
                  <w:tcW w:type="dxa" w:w="1930"/>
                  <w:shd w:val="clear" w:color="auto" w:fill="1E375A"/>
                </w:tcPr>
                <w:p>
                  <w:pPr>
                    <w:jc w:val="center"/>
                  </w:pPr>
                  <w:r>
                    <w:rPr>
                      <w:rFonts w:ascii="Calibri" w:hAnsi="Calibri"/>
                      <w:b/>
                      <w:color w:val="FFFFFF"/>
                      <w:sz w:val="19"/>
                    </w:rPr>
                    <w:t>DenseNet-121</w:t>
                  </w:r>
                </w:p>
              </w:tc>
              <w:tc>
                <w:tcPr>
                  <w:tcW w:type="dxa" w:w="1930"/>
                  <w:shd w:val="clear" w:color="auto" w:fill="1E375A"/>
                </w:tcPr>
                <w:p>
                  <w:pPr>
                    <w:jc w:val="center"/>
                  </w:pPr>
                  <w:r>
                    <w:rPr>
                      <w:rFonts w:ascii="Calibri" w:hAnsi="Calibri"/>
                      <w:b/>
                      <w:color w:val="FFFFFF"/>
                      <w:sz w:val="19"/>
                    </w:rPr>
                    <w:t>CheXNet</w:t>
                  </w:r>
                </w:p>
              </w:tc>
              <w:tc>
                <w:tcPr>
                  <w:tcW w:type="dxa" w:w="1930"/>
                  <w:shd w:val="clear" w:color="auto" w:fill="1E375A"/>
                </w:tcPr>
                <w:p>
                  <w:pPr>
                    <w:jc w:val="center"/>
                  </w:pPr>
                  <w:r>
                    <w:rPr>
                      <w:rFonts w:ascii="Calibri" w:hAnsi="Calibri"/>
                      <w:b/>
                      <w:color w:val="FFFFFF"/>
                      <w:sz w:val="19"/>
                    </w:rPr>
                    <w:t>ConvNeXt-Large</w:t>
                  </w:r>
                </w:p>
              </w:tc>
              <w:tc>
                <w:tcPr>
                  <w:tcW w:type="dxa" w:w="1930"/>
                  <w:shd w:val="clear" w:color="auto" w:fill="1E375A"/>
                </w:tcPr>
                <w:p>
                  <w:pPr>
                    <w:jc w:val="center"/>
                  </w:pPr>
                  <w:r>
                    <w:rPr>
                      <w:rFonts w:ascii="Calibri" w:hAnsi="Calibri"/>
                      <w:b/>
                      <w:color w:val="FFFFFF"/>
                      <w:sz w:val="19"/>
                    </w:rPr>
                    <w:t>🏆 4-Model Ensemble + TTA</w:t>
                  </w:r>
                </w:p>
              </w:tc>
            </w:tr>
            <w:tr>
              <w:tc>
                <w:tcPr>
                  <w:tcW w:type="dxa" w:w="1930"/>
                  <w:shd w:val="clear" w:color="auto" w:fill="FFFFFF"/>
                </w:tcPr>
                <w:p>
                  <w:pPr>
                    <w:jc w:val="center"/>
                  </w:pPr>
                  <w:r>
                    <w:rPr>
                      <w:rFonts w:ascii="Calibri" w:hAnsi="Calibri"/>
                      <w:color w:val="222222"/>
                      <w:sz w:val="19"/>
                    </w:rPr>
                    <w:t>Atelectasis</w:t>
                  </w:r>
                </w:p>
              </w:tc>
              <w:tc>
                <w:tcPr>
                  <w:tcW w:type="dxa" w:w="1930"/>
                  <w:shd w:val="clear" w:color="auto" w:fill="FFFFFF"/>
                </w:tcPr>
                <w:p>
                  <w:pPr>
                    <w:jc w:val="center"/>
                  </w:pPr>
                  <w:r>
                    <w:rPr>
                      <w:rFonts w:ascii="Calibri" w:hAnsi="Calibri"/>
                      <w:color w:val="222222"/>
                      <w:sz w:val="19"/>
                    </w:rPr>
                    <w:t>0.7798</w:t>
                  </w:r>
                </w:p>
              </w:tc>
              <w:tc>
                <w:tcPr>
                  <w:tcW w:type="dxa" w:w="1930"/>
                  <w:shd w:val="clear" w:color="auto" w:fill="FFFFFF"/>
                </w:tcPr>
                <w:p>
                  <w:pPr>
                    <w:jc w:val="center"/>
                  </w:pPr>
                  <w:r>
                    <w:rPr>
                      <w:rFonts w:ascii="Calibri" w:hAnsi="Calibri"/>
                      <w:color w:val="222222"/>
                      <w:sz w:val="19"/>
                    </w:rPr>
                    <w:t>0.7827</w:t>
                  </w:r>
                </w:p>
              </w:tc>
              <w:tc>
                <w:tcPr>
                  <w:tcW w:type="dxa" w:w="1930"/>
                  <w:shd w:val="clear" w:color="auto" w:fill="FFFFFF"/>
                </w:tcPr>
                <w:p>
                  <w:pPr>
                    <w:jc w:val="center"/>
                  </w:pPr>
                  <w:r>
                    <w:rPr>
                      <w:rFonts w:ascii="Calibri" w:hAnsi="Calibri"/>
                      <w:color w:val="222222"/>
                      <w:sz w:val="19"/>
                    </w:rPr>
                    <w:t>0.7845</w:t>
                  </w:r>
                </w:p>
              </w:tc>
              <w:tc>
                <w:tcPr>
                  <w:tcW w:type="dxa" w:w="1930"/>
                  <w:shd w:val="clear" w:color="auto" w:fill="FFFFFF"/>
                </w:tcPr>
                <w:p>
                  <w:pPr>
                    <w:jc w:val="center"/>
                  </w:pPr>
                  <w:r>
                    <w:rPr>
                      <w:rFonts w:ascii="Calibri" w:hAnsi="Calibri"/>
                      <w:color w:val="222222"/>
                      <w:sz w:val="19"/>
                    </w:rPr>
                    <w:t>0.7991 (+0.0146)</w:t>
                  </w:r>
                </w:p>
              </w:tc>
            </w:tr>
            <w:tr>
              <w:tc>
                <w:tcPr>
                  <w:tcW w:type="dxa" w:w="1930"/>
                  <w:shd w:val="clear" w:color="auto" w:fill="F4F7FA"/>
                </w:tcPr>
                <w:p>
                  <w:pPr>
                    <w:jc w:val="center"/>
                  </w:pPr>
                  <w:r>
                    <w:rPr>
                      <w:rFonts w:ascii="Calibri" w:hAnsi="Calibri"/>
                      <w:color w:val="222222"/>
                      <w:sz w:val="19"/>
                    </w:rPr>
                    <w:t>Cardiomegaly</w:t>
                  </w:r>
                </w:p>
              </w:tc>
              <w:tc>
                <w:tcPr>
                  <w:tcW w:type="dxa" w:w="1930"/>
                  <w:shd w:val="clear" w:color="auto" w:fill="F4F7FA"/>
                </w:tcPr>
                <w:p>
                  <w:pPr>
                    <w:jc w:val="center"/>
                  </w:pPr>
                  <w:r>
                    <w:rPr>
                      <w:rFonts w:ascii="Calibri" w:hAnsi="Calibri"/>
                      <w:color w:val="222222"/>
                      <w:sz w:val="19"/>
                    </w:rPr>
                    <w:t>0.8759</w:t>
                  </w:r>
                </w:p>
              </w:tc>
              <w:tc>
                <w:tcPr>
                  <w:tcW w:type="dxa" w:w="1930"/>
                  <w:shd w:val="clear" w:color="auto" w:fill="F4F7FA"/>
                </w:tcPr>
                <w:p>
                  <w:pPr>
                    <w:jc w:val="center"/>
                  </w:pPr>
                  <w:r>
                    <w:rPr>
                      <w:rFonts w:ascii="Calibri" w:hAnsi="Calibri"/>
                      <w:color w:val="222222"/>
                      <w:sz w:val="19"/>
                    </w:rPr>
                    <w:t>0.8924</w:t>
                  </w:r>
                </w:p>
              </w:tc>
              <w:tc>
                <w:tcPr>
                  <w:tcW w:type="dxa" w:w="1930"/>
                  <w:shd w:val="clear" w:color="auto" w:fill="F4F7FA"/>
                </w:tcPr>
                <w:p>
                  <w:pPr>
                    <w:jc w:val="center"/>
                  </w:pPr>
                  <w:r>
                    <w:rPr>
                      <w:rFonts w:ascii="Calibri" w:hAnsi="Calibri"/>
                      <w:color w:val="222222"/>
                      <w:sz w:val="19"/>
                    </w:rPr>
                    <w:t>0.8850</w:t>
                  </w:r>
                </w:p>
              </w:tc>
              <w:tc>
                <w:tcPr>
                  <w:tcW w:type="dxa" w:w="1930"/>
                  <w:shd w:val="clear" w:color="auto" w:fill="F4F7FA"/>
                </w:tcPr>
                <w:p>
                  <w:pPr>
                    <w:jc w:val="center"/>
                  </w:pPr>
                  <w:r>
                    <w:rPr>
                      <w:rFonts w:ascii="Calibri" w:hAnsi="Calibri"/>
                      <w:color w:val="222222"/>
                      <w:sz w:val="19"/>
                    </w:rPr>
                    <w:t>0.8995 (~90.0%)</w:t>
                  </w:r>
                </w:p>
              </w:tc>
            </w:tr>
            <w:tr>
              <w:tc>
                <w:tcPr>
                  <w:tcW w:type="dxa" w:w="1930"/>
                  <w:shd w:val="clear" w:color="auto" w:fill="FFFFFF"/>
                </w:tcPr>
                <w:p>
                  <w:pPr>
                    <w:jc w:val="center"/>
                  </w:pPr>
                  <w:r>
                    <w:rPr>
                      <w:rFonts w:ascii="Calibri" w:hAnsi="Calibri"/>
                      <w:color w:val="222222"/>
                      <w:sz w:val="19"/>
                    </w:rPr>
                    <w:t>Effusion</w:t>
                  </w:r>
                </w:p>
              </w:tc>
              <w:tc>
                <w:tcPr>
                  <w:tcW w:type="dxa" w:w="1930"/>
                  <w:shd w:val="clear" w:color="auto" w:fill="FFFFFF"/>
                </w:tcPr>
                <w:p>
                  <w:pPr>
                    <w:jc w:val="center"/>
                  </w:pPr>
                  <w:r>
                    <w:rPr>
                      <w:rFonts w:ascii="Calibri" w:hAnsi="Calibri"/>
                      <w:color w:val="222222"/>
                      <w:sz w:val="19"/>
                    </w:rPr>
                    <w:t>0.8327</w:t>
                  </w:r>
                </w:p>
              </w:tc>
              <w:tc>
                <w:tcPr>
                  <w:tcW w:type="dxa" w:w="1930"/>
                  <w:shd w:val="clear" w:color="auto" w:fill="FFFFFF"/>
                </w:tcPr>
                <w:p>
                  <w:pPr>
                    <w:jc w:val="center"/>
                  </w:pPr>
                  <w:r>
                    <w:rPr>
                      <w:rFonts w:ascii="Calibri" w:hAnsi="Calibri"/>
                      <w:color w:val="222222"/>
                      <w:sz w:val="19"/>
                    </w:rPr>
                    <w:t>0.8365</w:t>
                  </w:r>
                </w:p>
              </w:tc>
              <w:tc>
                <w:tcPr>
                  <w:tcW w:type="dxa" w:w="1930"/>
                  <w:shd w:val="clear" w:color="auto" w:fill="FFFFFF"/>
                </w:tcPr>
                <w:p>
                  <w:pPr>
                    <w:jc w:val="center"/>
                  </w:pPr>
                  <w:r>
                    <w:rPr>
                      <w:rFonts w:ascii="Calibri" w:hAnsi="Calibri"/>
                      <w:color w:val="222222"/>
                      <w:sz w:val="19"/>
                    </w:rPr>
                    <w:t>0.8390</w:t>
                  </w:r>
                </w:p>
              </w:tc>
              <w:tc>
                <w:tcPr>
                  <w:tcW w:type="dxa" w:w="1930"/>
                  <w:shd w:val="clear" w:color="auto" w:fill="FFFFFF"/>
                </w:tcPr>
                <w:p>
                  <w:pPr>
                    <w:jc w:val="center"/>
                  </w:pPr>
                  <w:r>
                    <w:rPr>
                      <w:rFonts w:ascii="Calibri" w:hAnsi="Calibri"/>
                      <w:color w:val="222222"/>
                      <w:sz w:val="19"/>
                    </w:rPr>
                    <w:t>0.8454 (+0.0064)</w:t>
                  </w:r>
                </w:p>
              </w:tc>
            </w:tr>
            <w:tr>
              <w:tc>
                <w:tcPr>
                  <w:tcW w:type="dxa" w:w="1930"/>
                  <w:shd w:val="clear" w:color="auto" w:fill="F4F7FA"/>
                </w:tcPr>
                <w:p>
                  <w:pPr>
                    <w:jc w:val="center"/>
                  </w:pPr>
                  <w:r>
                    <w:rPr>
                      <w:rFonts w:ascii="Calibri" w:hAnsi="Calibri"/>
                      <w:color w:val="222222"/>
                      <w:sz w:val="19"/>
                    </w:rPr>
                    <w:t>Infiltration</w:t>
                  </w:r>
                </w:p>
              </w:tc>
              <w:tc>
                <w:tcPr>
                  <w:tcW w:type="dxa" w:w="1930"/>
                  <w:shd w:val="clear" w:color="auto" w:fill="F4F7FA"/>
                </w:tcPr>
                <w:p>
                  <w:pPr>
                    <w:jc w:val="center"/>
                  </w:pPr>
                  <w:r>
                    <w:rPr>
                      <w:rFonts w:ascii="Calibri" w:hAnsi="Calibri"/>
                      <w:color w:val="222222"/>
                      <w:sz w:val="19"/>
                    </w:rPr>
                    <w:t>0.7004</w:t>
                  </w:r>
                </w:p>
              </w:tc>
              <w:tc>
                <w:tcPr>
                  <w:tcW w:type="dxa" w:w="1930"/>
                  <w:shd w:val="clear" w:color="auto" w:fill="F4F7FA"/>
                </w:tcPr>
                <w:p>
                  <w:pPr>
                    <w:jc w:val="center"/>
                  </w:pPr>
                  <w:r>
                    <w:rPr>
                      <w:rFonts w:ascii="Calibri" w:hAnsi="Calibri"/>
                      <w:color w:val="222222"/>
                      <w:sz w:val="19"/>
                    </w:rPr>
                    <w:t>0.6963</w:t>
                  </w:r>
                </w:p>
              </w:tc>
              <w:tc>
                <w:tcPr>
                  <w:tcW w:type="dxa" w:w="1930"/>
                  <w:shd w:val="clear" w:color="auto" w:fill="F4F7FA"/>
                </w:tcPr>
                <w:p>
                  <w:pPr>
                    <w:jc w:val="center"/>
                  </w:pPr>
                  <w:r>
                    <w:rPr>
                      <w:rFonts w:ascii="Calibri" w:hAnsi="Calibri"/>
                      <w:color w:val="222222"/>
                      <w:sz w:val="19"/>
                    </w:rPr>
                    <w:t>0.7080</w:t>
                  </w:r>
                </w:p>
              </w:tc>
              <w:tc>
                <w:tcPr>
                  <w:tcW w:type="dxa" w:w="1930"/>
                  <w:shd w:val="clear" w:color="auto" w:fill="F4F7FA"/>
                </w:tcPr>
                <w:p>
                  <w:pPr>
                    <w:jc w:val="center"/>
                  </w:pPr>
                  <w:r>
                    <w:rPr>
                      <w:rFonts w:ascii="Calibri" w:hAnsi="Calibri"/>
                      <w:color w:val="222222"/>
                      <w:sz w:val="19"/>
                    </w:rPr>
                    <w:t>0.7127</w:t>
                  </w:r>
                </w:p>
              </w:tc>
            </w:tr>
            <w:tr>
              <w:tc>
                <w:tcPr>
                  <w:tcW w:type="dxa" w:w="1930"/>
                  <w:shd w:val="clear" w:color="auto" w:fill="FFFFFF"/>
                </w:tcPr>
                <w:p>
                  <w:pPr>
                    <w:jc w:val="center"/>
                  </w:pPr>
                  <w:r>
                    <w:rPr>
                      <w:rFonts w:ascii="Calibri" w:hAnsi="Calibri"/>
                      <w:color w:val="222222"/>
                      <w:sz w:val="19"/>
                    </w:rPr>
                    <w:t>Mass</w:t>
                  </w:r>
                </w:p>
              </w:tc>
              <w:tc>
                <w:tcPr>
                  <w:tcW w:type="dxa" w:w="1930"/>
                  <w:shd w:val="clear" w:color="auto" w:fill="FFFFFF"/>
                </w:tcPr>
                <w:p>
                  <w:pPr>
                    <w:jc w:val="center"/>
                  </w:pPr>
                  <w:r>
                    <w:rPr>
                      <w:rFonts w:ascii="Calibri" w:hAnsi="Calibri"/>
                      <w:color w:val="222222"/>
                      <w:sz w:val="19"/>
                    </w:rPr>
                    <w:t>0.8249</w:t>
                  </w:r>
                </w:p>
              </w:tc>
              <w:tc>
                <w:tcPr>
                  <w:tcW w:type="dxa" w:w="1930"/>
                  <w:shd w:val="clear" w:color="auto" w:fill="FFFFFF"/>
                </w:tcPr>
                <w:p>
                  <w:pPr>
                    <w:jc w:val="center"/>
                  </w:pPr>
                  <w:r>
                    <w:rPr>
                      <w:rFonts w:ascii="Calibri" w:hAnsi="Calibri"/>
                      <w:color w:val="222222"/>
                      <w:sz w:val="19"/>
                    </w:rPr>
                    <w:t>0.8247</w:t>
                  </w:r>
                </w:p>
              </w:tc>
              <w:tc>
                <w:tcPr>
                  <w:tcW w:type="dxa" w:w="1930"/>
                  <w:shd w:val="clear" w:color="auto" w:fill="FFFFFF"/>
                </w:tcPr>
                <w:p>
                  <w:pPr>
                    <w:jc w:val="center"/>
                  </w:pPr>
                  <w:r>
                    <w:rPr>
                      <w:rFonts w:ascii="Calibri" w:hAnsi="Calibri"/>
                      <w:color w:val="222222"/>
                      <w:sz w:val="19"/>
                    </w:rPr>
                    <w:t>0.8310</w:t>
                  </w:r>
                </w:p>
              </w:tc>
              <w:tc>
                <w:tcPr>
                  <w:tcW w:type="dxa" w:w="1930"/>
                  <w:shd w:val="clear" w:color="auto" w:fill="FFFFFF"/>
                </w:tcPr>
                <w:p>
                  <w:pPr>
                    <w:jc w:val="center"/>
                  </w:pPr>
                  <w:r>
                    <w:rPr>
                      <w:rFonts w:ascii="Calibri" w:hAnsi="Calibri"/>
                      <w:color w:val="222222"/>
                      <w:sz w:val="19"/>
                    </w:rPr>
                    <w:t>0.8525 (+0.0215)</w:t>
                  </w:r>
                </w:p>
              </w:tc>
            </w:tr>
            <w:tr>
              <w:tc>
                <w:tcPr>
                  <w:tcW w:type="dxa" w:w="1930"/>
                  <w:shd w:val="clear" w:color="auto" w:fill="F4F7FA"/>
                </w:tcPr>
                <w:p>
                  <w:pPr>
                    <w:jc w:val="center"/>
                  </w:pPr>
                  <w:r>
                    <w:rPr>
                      <w:rFonts w:ascii="Calibri" w:hAnsi="Calibri"/>
                      <w:color w:val="222222"/>
                      <w:sz w:val="19"/>
                    </w:rPr>
                    <w:t>Nodule</w:t>
                  </w:r>
                </w:p>
              </w:tc>
              <w:tc>
                <w:tcPr>
                  <w:tcW w:type="dxa" w:w="1930"/>
                  <w:shd w:val="clear" w:color="auto" w:fill="F4F7FA"/>
                </w:tcPr>
                <w:p>
                  <w:pPr>
                    <w:jc w:val="center"/>
                  </w:pPr>
                  <w:r>
                    <w:rPr>
                      <w:rFonts w:ascii="Calibri" w:hAnsi="Calibri"/>
                      <w:color w:val="222222"/>
                      <w:sz w:val="19"/>
                    </w:rPr>
                    <w:t>0.8003</w:t>
                  </w:r>
                </w:p>
              </w:tc>
              <w:tc>
                <w:tcPr>
                  <w:tcW w:type="dxa" w:w="1930"/>
                  <w:shd w:val="clear" w:color="auto" w:fill="F4F7FA"/>
                </w:tcPr>
                <w:p>
                  <w:pPr>
                    <w:jc w:val="center"/>
                  </w:pPr>
                  <w:r>
                    <w:rPr>
                      <w:rFonts w:ascii="Calibri" w:hAnsi="Calibri"/>
                      <w:color w:val="222222"/>
                      <w:sz w:val="19"/>
                    </w:rPr>
                    <w:t>0.7870</w:t>
                  </w:r>
                </w:p>
              </w:tc>
              <w:tc>
                <w:tcPr>
                  <w:tcW w:type="dxa" w:w="1930"/>
                  <w:shd w:val="clear" w:color="auto" w:fill="F4F7FA"/>
                </w:tcPr>
                <w:p>
                  <w:pPr>
                    <w:jc w:val="center"/>
                  </w:pPr>
                  <w:r>
                    <w:rPr>
                      <w:rFonts w:ascii="Calibri" w:hAnsi="Calibri"/>
                      <w:color w:val="222222"/>
                      <w:sz w:val="19"/>
                    </w:rPr>
                    <w:t>0.7950</w:t>
                  </w:r>
                </w:p>
              </w:tc>
              <w:tc>
                <w:tcPr>
                  <w:tcW w:type="dxa" w:w="1930"/>
                  <w:shd w:val="clear" w:color="auto" w:fill="F4F7FA"/>
                </w:tcPr>
                <w:p>
                  <w:pPr>
                    <w:jc w:val="center"/>
                  </w:pPr>
                  <w:r>
                    <w:rPr>
                      <w:rFonts w:ascii="Calibri" w:hAnsi="Calibri"/>
                      <w:color w:val="222222"/>
                      <w:sz w:val="19"/>
                    </w:rPr>
                    <w:t>0.8149 (+0.0146)</w:t>
                  </w:r>
                </w:p>
              </w:tc>
            </w:tr>
            <w:tr>
              <w:tc>
                <w:tcPr>
                  <w:tcW w:type="dxa" w:w="1930"/>
                  <w:shd w:val="clear" w:color="auto" w:fill="FFFFFF"/>
                </w:tcPr>
                <w:p>
                  <w:pPr>
                    <w:jc w:val="center"/>
                  </w:pPr>
                  <w:r>
                    <w:rPr>
                      <w:rFonts w:ascii="Calibri" w:hAnsi="Calibri"/>
                      <w:color w:val="222222"/>
                      <w:sz w:val="19"/>
                    </w:rPr>
                    <w:t>Pneumonia</w:t>
                  </w:r>
                </w:p>
              </w:tc>
              <w:tc>
                <w:tcPr>
                  <w:tcW w:type="dxa" w:w="1930"/>
                  <w:shd w:val="clear" w:color="auto" w:fill="FFFFFF"/>
                </w:tcPr>
                <w:p>
                  <w:pPr>
                    <w:jc w:val="center"/>
                  </w:pPr>
                  <w:r>
                    <w:rPr>
                      <w:rFonts w:ascii="Calibri" w:hAnsi="Calibri"/>
                      <w:color w:val="222222"/>
                      <w:sz w:val="19"/>
                    </w:rPr>
                    <w:t>0.7325</w:t>
                  </w:r>
                </w:p>
              </w:tc>
              <w:tc>
                <w:tcPr>
                  <w:tcW w:type="dxa" w:w="1930"/>
                  <w:shd w:val="clear" w:color="auto" w:fill="FFFFFF"/>
                </w:tcPr>
                <w:p>
                  <w:pPr>
                    <w:jc w:val="center"/>
                  </w:pPr>
                  <w:r>
                    <w:rPr>
                      <w:rFonts w:ascii="Calibri" w:hAnsi="Calibri"/>
                      <w:color w:val="222222"/>
                      <w:sz w:val="19"/>
                    </w:rPr>
                    <w:t>0.7275</w:t>
                  </w:r>
                </w:p>
              </w:tc>
              <w:tc>
                <w:tcPr>
                  <w:tcW w:type="dxa" w:w="1930"/>
                  <w:shd w:val="clear" w:color="auto" w:fill="FFFFFF"/>
                </w:tcPr>
                <w:p>
                  <w:pPr>
                    <w:jc w:val="center"/>
                  </w:pPr>
                  <w:r>
                    <w:rPr>
                      <w:rFonts w:ascii="Calibri" w:hAnsi="Calibri"/>
                      <w:color w:val="222222"/>
                      <w:sz w:val="19"/>
                    </w:rPr>
                    <w:t>0.7380</w:t>
                  </w:r>
                </w:p>
              </w:tc>
              <w:tc>
                <w:tcPr>
                  <w:tcW w:type="dxa" w:w="1930"/>
                  <w:shd w:val="clear" w:color="auto" w:fill="FFFFFF"/>
                </w:tcPr>
                <w:p>
                  <w:pPr>
                    <w:jc w:val="center"/>
                  </w:pPr>
                  <w:r>
                    <w:rPr>
                      <w:rFonts w:ascii="Calibri" w:hAnsi="Calibri"/>
                      <w:color w:val="222222"/>
                      <w:sz w:val="19"/>
                    </w:rPr>
                    <w:t>0.7446 (+0.0066)</w:t>
                  </w:r>
                </w:p>
              </w:tc>
            </w:tr>
            <w:tr>
              <w:tc>
                <w:tcPr>
                  <w:tcW w:type="dxa" w:w="1930"/>
                  <w:shd w:val="clear" w:color="auto" w:fill="F4F7FA"/>
                </w:tcPr>
                <w:p>
                  <w:pPr>
                    <w:jc w:val="center"/>
                  </w:pPr>
                  <w:r>
                    <w:rPr>
                      <w:rFonts w:ascii="Calibri" w:hAnsi="Calibri"/>
                      <w:color w:val="222222"/>
                      <w:sz w:val="19"/>
                    </w:rPr>
                    <w:t>Pneumothorax</w:t>
                  </w:r>
                </w:p>
              </w:tc>
              <w:tc>
                <w:tcPr>
                  <w:tcW w:type="dxa" w:w="1930"/>
                  <w:shd w:val="clear" w:color="auto" w:fill="F4F7FA"/>
                </w:tcPr>
                <w:p>
                  <w:pPr>
                    <w:jc w:val="center"/>
                  </w:pPr>
                  <w:r>
                    <w:rPr>
                      <w:rFonts w:ascii="Calibri" w:hAnsi="Calibri"/>
                      <w:color w:val="222222"/>
                      <w:sz w:val="19"/>
                    </w:rPr>
                    <w:t>0.8600</w:t>
                  </w:r>
                </w:p>
              </w:tc>
              <w:tc>
                <w:tcPr>
                  <w:tcW w:type="dxa" w:w="1930"/>
                  <w:shd w:val="clear" w:color="auto" w:fill="F4F7FA"/>
                </w:tcPr>
                <w:p>
                  <w:pPr>
                    <w:jc w:val="center"/>
                  </w:pPr>
                  <w:r>
                    <w:rPr>
                      <w:rFonts w:ascii="Calibri" w:hAnsi="Calibri"/>
                      <w:color w:val="222222"/>
                      <w:sz w:val="19"/>
                    </w:rPr>
                    <w:t>0.8773</w:t>
                  </w:r>
                </w:p>
              </w:tc>
              <w:tc>
                <w:tcPr>
                  <w:tcW w:type="dxa" w:w="1930"/>
                  <w:shd w:val="clear" w:color="auto" w:fill="F4F7FA"/>
                </w:tcPr>
                <w:p>
                  <w:pPr>
                    <w:jc w:val="center"/>
                  </w:pPr>
                  <w:r>
                    <w:rPr>
                      <w:rFonts w:ascii="Calibri" w:hAnsi="Calibri"/>
                      <w:color w:val="222222"/>
                      <w:sz w:val="19"/>
                    </w:rPr>
                    <w:t>0.8790</w:t>
                  </w:r>
                </w:p>
              </w:tc>
              <w:tc>
                <w:tcPr>
                  <w:tcW w:type="dxa" w:w="1930"/>
                  <w:shd w:val="clear" w:color="auto" w:fill="F4F7FA"/>
                </w:tcPr>
                <w:p>
                  <w:pPr>
                    <w:jc w:val="center"/>
                  </w:pPr>
                  <w:r>
                    <w:rPr>
                      <w:rFonts w:ascii="Calibri" w:hAnsi="Calibri"/>
                      <w:color w:val="222222"/>
                      <w:sz w:val="19"/>
                    </w:rPr>
                    <w:t>0.8870 (+0.0080)</w:t>
                  </w:r>
                </w:p>
              </w:tc>
            </w:tr>
            <w:tr>
              <w:tc>
                <w:tcPr>
                  <w:tcW w:type="dxa" w:w="1930"/>
                  <w:shd w:val="clear" w:color="auto" w:fill="FFFFFF"/>
                </w:tcPr>
                <w:p>
                  <w:pPr>
                    <w:jc w:val="center"/>
                  </w:pPr>
                  <w:r>
                    <w:rPr>
                      <w:rFonts w:ascii="Calibri" w:hAnsi="Calibri"/>
                      <w:color w:val="222222"/>
                      <w:sz w:val="19"/>
                    </w:rPr>
                    <w:t>Consolidation</w:t>
                  </w:r>
                </w:p>
              </w:tc>
              <w:tc>
                <w:tcPr>
                  <w:tcW w:type="dxa" w:w="1930"/>
                  <w:shd w:val="clear" w:color="auto" w:fill="FFFFFF"/>
                </w:tcPr>
                <w:p>
                  <w:pPr>
                    <w:jc w:val="center"/>
                  </w:pPr>
                  <w:r>
                    <w:rPr>
                      <w:rFonts w:ascii="Calibri" w:hAnsi="Calibri"/>
                      <w:color w:val="222222"/>
                      <w:sz w:val="19"/>
                    </w:rPr>
                    <w:t>0.7463</w:t>
                  </w:r>
                </w:p>
              </w:tc>
              <w:tc>
                <w:tcPr>
                  <w:tcW w:type="dxa" w:w="1930"/>
                  <w:shd w:val="clear" w:color="auto" w:fill="FFFFFF"/>
                </w:tcPr>
                <w:p>
                  <w:pPr>
                    <w:jc w:val="center"/>
                  </w:pPr>
                  <w:r>
                    <w:rPr>
                      <w:rFonts w:ascii="Calibri" w:hAnsi="Calibri"/>
                      <w:color w:val="222222"/>
                      <w:sz w:val="19"/>
                    </w:rPr>
                    <w:t>0.7529</w:t>
                  </w:r>
                </w:p>
              </w:tc>
              <w:tc>
                <w:tcPr>
                  <w:tcW w:type="dxa" w:w="1930"/>
                  <w:shd w:val="clear" w:color="auto" w:fill="FFFFFF"/>
                </w:tcPr>
                <w:p>
                  <w:pPr>
                    <w:jc w:val="center"/>
                  </w:pPr>
                  <w:r>
                    <w:rPr>
                      <w:rFonts w:ascii="Calibri" w:hAnsi="Calibri"/>
                      <w:color w:val="222222"/>
                      <w:sz w:val="19"/>
                    </w:rPr>
                    <w:t>0.7580</w:t>
                  </w:r>
                </w:p>
              </w:tc>
              <w:tc>
                <w:tcPr>
                  <w:tcW w:type="dxa" w:w="1930"/>
                  <w:shd w:val="clear" w:color="auto" w:fill="FFFFFF"/>
                </w:tcPr>
                <w:p>
                  <w:pPr>
                    <w:jc w:val="center"/>
                  </w:pPr>
                  <w:r>
                    <w:rPr>
                      <w:rFonts w:ascii="Calibri" w:hAnsi="Calibri"/>
                      <w:color w:val="222222"/>
                      <w:sz w:val="19"/>
                    </w:rPr>
                    <w:t>0.7668 (+0.0088)</w:t>
                  </w:r>
                </w:p>
              </w:tc>
            </w:tr>
            <w:tr>
              <w:tc>
                <w:tcPr>
                  <w:tcW w:type="dxa" w:w="1930"/>
                  <w:shd w:val="clear" w:color="auto" w:fill="F4F7FA"/>
                </w:tcPr>
                <w:p>
                  <w:pPr>
                    <w:jc w:val="center"/>
                  </w:pPr>
                  <w:r>
                    <w:rPr>
                      <w:rFonts w:ascii="Calibri" w:hAnsi="Calibri"/>
                      <w:color w:val="222222"/>
                      <w:sz w:val="19"/>
                    </w:rPr>
                    <w:t>Edema</w:t>
                  </w:r>
                </w:p>
              </w:tc>
              <w:tc>
                <w:tcPr>
                  <w:tcW w:type="dxa" w:w="1930"/>
                  <w:shd w:val="clear" w:color="auto" w:fill="F4F7FA"/>
                </w:tcPr>
                <w:p>
                  <w:pPr>
                    <w:jc w:val="center"/>
                  </w:pPr>
                  <w:r>
                    <w:rPr>
                      <w:rFonts w:ascii="Calibri" w:hAnsi="Calibri"/>
                      <w:color w:val="222222"/>
                      <w:sz w:val="19"/>
                    </w:rPr>
                    <w:t>0.8440</w:t>
                  </w:r>
                </w:p>
              </w:tc>
              <w:tc>
                <w:tcPr>
                  <w:tcW w:type="dxa" w:w="1930"/>
                  <w:shd w:val="clear" w:color="auto" w:fill="F4F7FA"/>
                </w:tcPr>
                <w:p>
                  <w:pPr>
                    <w:jc w:val="center"/>
                  </w:pPr>
                  <w:r>
                    <w:rPr>
                      <w:rFonts w:ascii="Calibri" w:hAnsi="Calibri"/>
                      <w:color w:val="222222"/>
                      <w:sz w:val="19"/>
                    </w:rPr>
                    <w:t>0.8454</w:t>
                  </w:r>
                </w:p>
              </w:tc>
              <w:tc>
                <w:tcPr>
                  <w:tcW w:type="dxa" w:w="1930"/>
                  <w:shd w:val="clear" w:color="auto" w:fill="F4F7FA"/>
                </w:tcPr>
                <w:p>
                  <w:pPr>
                    <w:jc w:val="center"/>
                  </w:pPr>
                  <w:r>
                    <w:rPr>
                      <w:rFonts w:ascii="Calibri" w:hAnsi="Calibri"/>
                      <w:color w:val="222222"/>
                      <w:sz w:val="19"/>
                    </w:rPr>
                    <w:t>0.8510</w:t>
                  </w:r>
                </w:p>
              </w:tc>
              <w:tc>
                <w:tcPr>
                  <w:tcW w:type="dxa" w:w="1930"/>
                  <w:shd w:val="clear" w:color="auto" w:fill="F4F7FA"/>
                </w:tcPr>
                <w:p>
                  <w:pPr>
                    <w:jc w:val="center"/>
                  </w:pPr>
                  <w:r>
                    <w:rPr>
                      <w:rFonts w:ascii="Calibri" w:hAnsi="Calibri"/>
                      <w:color w:val="222222"/>
                      <w:sz w:val="19"/>
                    </w:rPr>
                    <w:t>0.8644 (+0.0134)</w:t>
                  </w:r>
                </w:p>
              </w:tc>
            </w:tr>
            <w:tr>
              <w:tc>
                <w:tcPr>
                  <w:tcW w:type="dxa" w:w="1930"/>
                  <w:shd w:val="clear" w:color="auto" w:fill="FFFFFF"/>
                </w:tcPr>
                <w:p>
                  <w:pPr>
                    <w:jc w:val="center"/>
                  </w:pPr>
                  <w:r>
                    <w:rPr>
                      <w:rFonts w:ascii="Calibri" w:hAnsi="Calibri"/>
                      <w:color w:val="222222"/>
                      <w:sz w:val="19"/>
                    </w:rPr>
                    <w:t>Emphysema</w:t>
                  </w:r>
                </w:p>
              </w:tc>
              <w:tc>
                <w:tcPr>
                  <w:tcW w:type="dxa" w:w="1930"/>
                  <w:shd w:val="clear" w:color="auto" w:fill="FFFFFF"/>
                </w:tcPr>
                <w:p>
                  <w:pPr>
                    <w:jc w:val="center"/>
                  </w:pPr>
                  <w:r>
                    <w:rPr>
                      <w:rFonts w:ascii="Calibri" w:hAnsi="Calibri"/>
                      <w:color w:val="222222"/>
                      <w:sz w:val="19"/>
                    </w:rPr>
                    <w:t>0.9212</w:t>
                  </w:r>
                </w:p>
              </w:tc>
              <w:tc>
                <w:tcPr>
                  <w:tcW w:type="dxa" w:w="1930"/>
                  <w:shd w:val="clear" w:color="auto" w:fill="FFFFFF"/>
                </w:tcPr>
                <w:p>
                  <w:pPr>
                    <w:jc w:val="center"/>
                  </w:pPr>
                  <w:r>
                    <w:rPr>
                      <w:rFonts w:ascii="Calibri" w:hAnsi="Calibri"/>
                      <w:color w:val="222222"/>
                      <w:sz w:val="19"/>
                    </w:rPr>
                    <w:t>0.9216</w:t>
                  </w:r>
                </w:p>
              </w:tc>
              <w:tc>
                <w:tcPr>
                  <w:tcW w:type="dxa" w:w="1930"/>
                  <w:shd w:val="clear" w:color="auto" w:fill="FFFFFF"/>
                </w:tcPr>
                <w:p>
                  <w:pPr>
                    <w:jc w:val="center"/>
                  </w:pPr>
                  <w:r>
                    <w:rPr>
                      <w:rFonts w:ascii="Calibri" w:hAnsi="Calibri"/>
                      <w:color w:val="222222"/>
                      <w:sz w:val="19"/>
                    </w:rPr>
                    <w:t>0.9280</w:t>
                  </w:r>
                </w:p>
              </w:tc>
              <w:tc>
                <w:tcPr>
                  <w:tcW w:type="dxa" w:w="1930"/>
                  <w:shd w:val="clear" w:color="auto" w:fill="FFFFFF"/>
                </w:tcPr>
                <w:p>
                  <w:pPr>
                    <w:jc w:val="center"/>
                  </w:pPr>
                  <w:r>
                    <w:rPr>
                      <w:rFonts w:ascii="Calibri" w:hAnsi="Calibri"/>
                      <w:color w:val="222222"/>
                      <w:sz w:val="19"/>
                    </w:rPr>
                    <w:t>0.9362 (+0.0082)</w:t>
                  </w:r>
                </w:p>
              </w:tc>
            </w:tr>
            <w:tr>
              <w:tc>
                <w:tcPr>
                  <w:tcW w:type="dxa" w:w="1930"/>
                  <w:shd w:val="clear" w:color="auto" w:fill="F4F7FA"/>
                </w:tcPr>
                <w:p>
                  <w:pPr>
                    <w:jc w:val="center"/>
                  </w:pPr>
                  <w:r>
                    <w:rPr>
                      <w:rFonts w:ascii="Calibri" w:hAnsi="Calibri"/>
                      <w:color w:val="222222"/>
                      <w:sz w:val="19"/>
                    </w:rPr>
                    <w:t>Fibrosis</w:t>
                  </w:r>
                </w:p>
              </w:tc>
              <w:tc>
                <w:tcPr>
                  <w:tcW w:type="dxa" w:w="1930"/>
                  <w:shd w:val="clear" w:color="auto" w:fill="F4F7FA"/>
                </w:tcPr>
                <w:p>
                  <w:pPr>
                    <w:jc w:val="center"/>
                  </w:pPr>
                  <w:r>
                    <w:rPr>
                      <w:rFonts w:ascii="Calibri" w:hAnsi="Calibri"/>
                      <w:color w:val="222222"/>
                      <w:sz w:val="19"/>
                    </w:rPr>
                    <w:t>0.8433</w:t>
                  </w:r>
                </w:p>
              </w:tc>
              <w:tc>
                <w:tcPr>
                  <w:tcW w:type="dxa" w:w="1930"/>
                  <w:shd w:val="clear" w:color="auto" w:fill="F4F7FA"/>
                </w:tcPr>
                <w:p>
                  <w:pPr>
                    <w:jc w:val="center"/>
                  </w:pPr>
                  <w:r>
                    <w:rPr>
                      <w:rFonts w:ascii="Calibri" w:hAnsi="Calibri"/>
                      <w:color w:val="222222"/>
                      <w:sz w:val="19"/>
                    </w:rPr>
                    <w:t>0.8225</w:t>
                  </w:r>
                </w:p>
              </w:tc>
              <w:tc>
                <w:tcPr>
                  <w:tcW w:type="dxa" w:w="1930"/>
                  <w:shd w:val="clear" w:color="auto" w:fill="F4F7FA"/>
                </w:tcPr>
                <w:p>
                  <w:pPr>
                    <w:jc w:val="center"/>
                  </w:pPr>
                  <w:r>
                    <w:rPr>
                      <w:rFonts w:ascii="Calibri" w:hAnsi="Calibri"/>
                      <w:color w:val="222222"/>
                      <w:sz w:val="19"/>
                    </w:rPr>
                    <w:t>0.8410</w:t>
                  </w:r>
                </w:p>
              </w:tc>
              <w:tc>
                <w:tcPr>
                  <w:tcW w:type="dxa" w:w="1930"/>
                  <w:shd w:val="clear" w:color="auto" w:fill="F4F7FA"/>
                </w:tcPr>
                <w:p>
                  <w:pPr>
                    <w:jc w:val="center"/>
                  </w:pPr>
                  <w:r>
                    <w:rPr>
                      <w:rFonts w:ascii="Calibri" w:hAnsi="Calibri"/>
                      <w:color w:val="222222"/>
                      <w:sz w:val="19"/>
                    </w:rPr>
                    <w:t>0.8538 (+0.0128)</w:t>
                  </w:r>
                </w:p>
              </w:tc>
            </w:tr>
            <w:tr>
              <w:tc>
                <w:tcPr>
                  <w:tcW w:type="dxa" w:w="1930"/>
                  <w:shd w:val="clear" w:color="auto" w:fill="FFFFFF"/>
                </w:tcPr>
                <w:p>
                  <w:pPr>
                    <w:jc w:val="center"/>
                  </w:pPr>
                  <w:r>
                    <w:rPr>
                      <w:rFonts w:ascii="Calibri" w:hAnsi="Calibri"/>
                      <w:color w:val="222222"/>
                      <w:sz w:val="19"/>
                    </w:rPr>
                    <w:t>Pleural Thickening</w:t>
                  </w:r>
                </w:p>
              </w:tc>
              <w:tc>
                <w:tcPr>
                  <w:tcW w:type="dxa" w:w="1930"/>
                  <w:shd w:val="clear" w:color="auto" w:fill="FFFFFF"/>
                </w:tcPr>
                <w:p>
                  <w:pPr>
                    <w:jc w:val="center"/>
                  </w:pPr>
                  <w:r>
                    <w:rPr>
                      <w:rFonts w:ascii="Calibri" w:hAnsi="Calibri"/>
                      <w:color w:val="222222"/>
                      <w:sz w:val="19"/>
                    </w:rPr>
                    <w:t>0.7966</w:t>
                  </w:r>
                </w:p>
              </w:tc>
              <w:tc>
                <w:tcPr>
                  <w:tcW w:type="dxa" w:w="1930"/>
                  <w:shd w:val="clear" w:color="auto" w:fill="FFFFFF"/>
                </w:tcPr>
                <w:p>
                  <w:pPr>
                    <w:jc w:val="center"/>
                  </w:pPr>
                  <w:r>
                    <w:rPr>
                      <w:rFonts w:ascii="Calibri" w:hAnsi="Calibri"/>
                      <w:color w:val="222222"/>
                      <w:sz w:val="19"/>
                    </w:rPr>
                    <w:t>0.7891</w:t>
                  </w:r>
                </w:p>
              </w:tc>
              <w:tc>
                <w:tcPr>
                  <w:tcW w:type="dxa" w:w="1930"/>
                  <w:shd w:val="clear" w:color="auto" w:fill="FFFFFF"/>
                </w:tcPr>
                <w:p>
                  <w:pPr>
                    <w:jc w:val="center"/>
                  </w:pPr>
                  <w:r>
                    <w:rPr>
                      <w:rFonts w:ascii="Calibri" w:hAnsi="Calibri"/>
                      <w:color w:val="222222"/>
                      <w:sz w:val="19"/>
                    </w:rPr>
                    <w:t>0.8010</w:t>
                  </w:r>
                </w:p>
              </w:tc>
              <w:tc>
                <w:tcPr>
                  <w:tcW w:type="dxa" w:w="1930"/>
                  <w:shd w:val="clear" w:color="auto" w:fill="FFFFFF"/>
                </w:tcPr>
                <w:p>
                  <w:pPr>
                    <w:jc w:val="center"/>
                  </w:pPr>
                  <w:r>
                    <w:rPr>
                      <w:rFonts w:ascii="Calibri" w:hAnsi="Calibri"/>
                      <w:color w:val="222222"/>
                      <w:sz w:val="19"/>
                    </w:rPr>
                    <w:t>0.8091 (+0.0081)</w:t>
                  </w:r>
                </w:p>
              </w:tc>
            </w:tr>
            <w:tr>
              <w:tc>
                <w:tcPr>
                  <w:tcW w:type="dxa" w:w="1930"/>
                  <w:shd w:val="clear" w:color="auto" w:fill="F4F7FA"/>
                </w:tcPr>
                <w:p>
                  <w:pPr>
                    <w:jc w:val="center"/>
                  </w:pPr>
                  <w:r>
                    <w:rPr>
                      <w:rFonts w:ascii="Calibri" w:hAnsi="Calibri"/>
                      <w:color w:val="222222"/>
                      <w:sz w:val="19"/>
                    </w:rPr>
                    <w:t>Hernia</w:t>
                  </w:r>
                </w:p>
              </w:tc>
              <w:tc>
                <w:tcPr>
                  <w:tcW w:type="dxa" w:w="1930"/>
                  <w:shd w:val="clear" w:color="auto" w:fill="F4F7FA"/>
                </w:tcPr>
                <w:p>
                  <w:pPr>
                    <w:jc w:val="center"/>
                  </w:pPr>
                  <w:r>
                    <w:rPr>
                      <w:rFonts w:ascii="Calibri" w:hAnsi="Calibri"/>
                      <w:color w:val="222222"/>
                      <w:sz w:val="19"/>
                    </w:rPr>
                    <w:t>0.9240</w:t>
                  </w:r>
                </w:p>
              </w:tc>
              <w:tc>
                <w:tcPr>
                  <w:tcW w:type="dxa" w:w="1930"/>
                  <w:shd w:val="clear" w:color="auto" w:fill="F4F7FA"/>
                </w:tcPr>
                <w:p>
                  <w:pPr>
                    <w:jc w:val="center"/>
                  </w:pPr>
                  <w:r>
                    <w:rPr>
                      <w:rFonts w:ascii="Calibri" w:hAnsi="Calibri"/>
                      <w:color w:val="222222"/>
                      <w:sz w:val="19"/>
                    </w:rPr>
                    <w:t>0.8940</w:t>
                  </w:r>
                </w:p>
              </w:tc>
              <w:tc>
                <w:tcPr>
                  <w:tcW w:type="dxa" w:w="1930"/>
                  <w:shd w:val="clear" w:color="auto" w:fill="F4F7FA"/>
                </w:tcPr>
                <w:p>
                  <w:pPr>
                    <w:jc w:val="center"/>
                  </w:pPr>
                  <w:r>
                    <w:rPr>
                      <w:rFonts w:ascii="Calibri" w:hAnsi="Calibri"/>
                      <w:color w:val="222222"/>
                      <w:sz w:val="19"/>
                    </w:rPr>
                    <w:t>0.9250</w:t>
                  </w:r>
                </w:p>
              </w:tc>
              <w:tc>
                <w:tcPr>
                  <w:tcW w:type="dxa" w:w="1930"/>
                  <w:shd w:val="clear" w:color="auto" w:fill="F4F7FA"/>
                </w:tcPr>
                <w:p>
                  <w:pPr>
                    <w:jc w:val="center"/>
                  </w:pPr>
                  <w:r>
                    <w:rPr>
                      <w:rFonts w:ascii="Calibri" w:hAnsi="Calibri"/>
                      <w:color w:val="222222"/>
                      <w:sz w:val="19"/>
                    </w:rPr>
                    <w:t>0.9346 (+0.0057)</w:t>
                  </w:r>
                </w:p>
              </w:tc>
            </w:tr>
            <w:tr>
              <w:tc>
                <w:tcPr>
                  <w:tcW w:type="dxa" w:w="1930"/>
                  <w:shd w:val="clear" w:color="auto" w:fill="FFFFFF"/>
                </w:tcPr>
                <w:p>
                  <w:pPr>
                    <w:jc w:val="center"/>
                  </w:pPr>
                  <w:r>
                    <w:rPr>
                      <w:rFonts w:ascii="Calibri" w:hAnsi="Calibri"/>
                      <w:color w:val="222222"/>
                      <w:sz w:val="19"/>
                    </w:rPr>
                    <w:t>MEAN AUC-ROC (Test)</w:t>
                  </w:r>
                </w:p>
              </w:tc>
              <w:tc>
                <w:tcPr>
                  <w:tcW w:type="dxa" w:w="1930"/>
                  <w:shd w:val="clear" w:color="auto" w:fill="FFFFFF"/>
                </w:tcPr>
                <w:p>
                  <w:pPr>
                    <w:jc w:val="center"/>
                  </w:pPr>
                  <w:r>
                    <w:rPr>
                      <w:rFonts w:ascii="Calibri" w:hAnsi="Calibri"/>
                      <w:color w:val="222222"/>
                      <w:sz w:val="19"/>
                    </w:rPr>
                    <w:t>0.8201</w:t>
                  </w:r>
                </w:p>
              </w:tc>
              <w:tc>
                <w:tcPr>
                  <w:tcW w:type="dxa" w:w="1930"/>
                  <w:shd w:val="clear" w:color="auto" w:fill="FFFFFF"/>
                </w:tcPr>
                <w:p>
                  <w:pPr>
                    <w:jc w:val="center"/>
                  </w:pPr>
                  <w:r>
                    <w:rPr>
                      <w:rFonts w:ascii="Calibri" w:hAnsi="Calibri"/>
                      <w:color w:val="222222"/>
                      <w:sz w:val="19"/>
                    </w:rPr>
                    <w:t>0.8179</w:t>
                  </w:r>
                </w:p>
              </w:tc>
              <w:tc>
                <w:tcPr>
                  <w:tcW w:type="dxa" w:w="1930"/>
                  <w:shd w:val="clear" w:color="auto" w:fill="FFFFFF"/>
                </w:tcPr>
                <w:p>
                  <w:pPr>
                    <w:jc w:val="center"/>
                  </w:pPr>
                  <w:r>
                    <w:rPr>
                      <w:rFonts w:ascii="Calibri" w:hAnsi="Calibri"/>
                      <w:color w:val="222222"/>
                      <w:sz w:val="19"/>
                    </w:rPr>
                    <w:t>0.8210</w:t>
                  </w:r>
                </w:p>
              </w:tc>
              <w:tc>
                <w:tcPr>
                  <w:tcW w:type="dxa" w:w="1930"/>
                  <w:shd w:val="clear" w:color="auto" w:fill="FFFFFF"/>
                </w:tcPr>
                <w:p>
                  <w:pPr>
                    <w:jc w:val="center"/>
                  </w:pPr>
                  <w:r>
                    <w:rPr>
                      <w:rFonts w:ascii="Calibri" w:hAnsi="Calibri"/>
                      <w:color w:val="222222"/>
                      <w:sz w:val="19"/>
                    </w:rPr>
                    <w:t>🏆 0.8372 (+1.62% Boost)</w:t>
                  </w:r>
                </w:p>
              </w:tc>
            </w:tr>
          </w:tbl>
          <w:p/>
          <w:p>
            <w:pPr>
              <w:spacing w:before="0" w:after="80"/>
            </w:pPr>
          </w:p>
          <w:p>
            <w:pPr>
              <w:spacing w:before="160" w:after="60"/>
              <w:jc w:val="left"/>
            </w:pPr>
            <w:r>
              <w:rPr>
                <w:rFonts w:ascii="Calibri" w:hAnsi="Calibri"/>
                <w:b/>
                <w:color w:val="1E375A"/>
                <w:sz w:val="24"/>
              </w:rPr>
              <w:t>12.3 Global Research Benchmark Hall of Fame</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1E375A"/>
                </w:tcPr>
                <w:p>
                  <w:pPr>
                    <w:jc w:val="center"/>
                  </w:pPr>
                  <w:r>
                    <w:rPr>
                      <w:rFonts w:ascii="Calibri" w:hAnsi="Calibri"/>
                      <w:b/>
                      <w:color w:val="FFFFFF"/>
                      <w:sz w:val="19"/>
                    </w:rPr>
                    <w:t>Rank</w:t>
                  </w:r>
                </w:p>
              </w:tc>
              <w:tc>
                <w:tcPr>
                  <w:tcW w:type="dxa" w:w="1608"/>
                  <w:shd w:val="clear" w:color="auto" w:fill="1E375A"/>
                </w:tcPr>
                <w:p>
                  <w:pPr>
                    <w:jc w:val="center"/>
                  </w:pPr>
                  <w:r>
                    <w:rPr>
                      <w:rFonts w:ascii="Calibri" w:hAnsi="Calibri"/>
                      <w:b/>
                      <w:color w:val="FFFFFF"/>
                      <w:sz w:val="19"/>
                    </w:rPr>
                    <w:t>Model / Reference Paper</w:t>
                  </w:r>
                </w:p>
              </w:tc>
              <w:tc>
                <w:tcPr>
                  <w:tcW w:type="dxa" w:w="1608"/>
                  <w:shd w:val="clear" w:color="auto" w:fill="1E375A"/>
                </w:tcPr>
                <w:p>
                  <w:pPr>
                    <w:jc w:val="center"/>
                  </w:pPr>
                  <w:r>
                    <w:rPr>
                      <w:rFonts w:ascii="Calibri" w:hAnsi="Calibri"/>
                      <w:b/>
                      <w:color w:val="FFFFFF"/>
                      <w:sz w:val="19"/>
                    </w:rPr>
                    <w:t>Author / Developer</w:t>
                  </w:r>
                </w:p>
              </w:tc>
              <w:tc>
                <w:tcPr>
                  <w:tcW w:type="dxa" w:w="1608"/>
                  <w:shd w:val="clear" w:color="auto" w:fill="1E375A"/>
                </w:tcPr>
                <w:p>
                  <w:pPr>
                    <w:jc w:val="center"/>
                  </w:pPr>
                  <w:r>
                    <w:rPr>
                      <w:rFonts w:ascii="Calibri" w:hAnsi="Calibri"/>
                      <w:b/>
                      <w:color w:val="FFFFFF"/>
                      <w:sz w:val="19"/>
                    </w:rPr>
                    <w:t>Val AUC</w:t>
                  </w:r>
                </w:p>
              </w:tc>
              <w:tc>
                <w:tcPr>
                  <w:tcW w:type="dxa" w:w="1608"/>
                  <w:shd w:val="clear" w:color="auto" w:fill="1E375A"/>
                </w:tcPr>
                <w:p>
                  <w:pPr>
                    <w:jc w:val="center"/>
                  </w:pPr>
                  <w:r>
                    <w:rPr>
                      <w:rFonts w:ascii="Calibri" w:hAnsi="Calibri"/>
                      <w:b/>
                      <w:color w:val="FFFFFF"/>
                      <w:sz w:val="19"/>
                    </w:rPr>
                    <w:t>Year</w:t>
                  </w:r>
                </w:p>
              </w:tc>
              <w:tc>
                <w:tcPr>
                  <w:tcW w:type="dxa" w:w="1608"/>
                  <w:shd w:val="clear" w:color="auto" w:fill="1E375A"/>
                </w:tcPr>
                <w:p>
                  <w:pPr>
                    <w:jc w:val="center"/>
                  </w:pPr>
                  <w:r>
                    <w:rPr>
                      <w:rFonts w:ascii="Calibri" w:hAnsi="Calibri"/>
                      <w:b/>
                      <w:color w:val="FFFFFF"/>
                      <w:sz w:val="19"/>
                    </w:rPr>
                    <w:t>Gap vs. Stanford</w:t>
                  </w:r>
                </w:p>
              </w:tc>
            </w:tr>
            <w:tr>
              <w:tc>
                <w:tcPr>
                  <w:tcW w:type="dxa" w:w="1608"/>
                  <w:shd w:val="clear" w:color="auto" w:fill="FFFFFF"/>
                </w:tcPr>
                <w:p>
                  <w:pPr>
                    <w:jc w:val="center"/>
                  </w:pPr>
                  <w:r>
                    <w:rPr>
                      <w:rFonts w:ascii="Calibri" w:hAnsi="Calibri"/>
                      <w:color w:val="222222"/>
                      <w:sz w:val="19"/>
                    </w:rPr>
                    <w:t>🥇 1st</w:t>
                  </w:r>
                </w:p>
              </w:tc>
              <w:tc>
                <w:tcPr>
                  <w:tcW w:type="dxa" w:w="1608"/>
                  <w:shd w:val="clear" w:color="auto" w:fill="FFFFFF"/>
                </w:tcPr>
                <w:p>
                  <w:pPr>
                    <w:jc w:val="center"/>
                  </w:pPr>
                  <w:r>
                    <w:rPr>
                      <w:rFonts w:ascii="Calibri" w:hAnsi="Calibri"/>
                      <w:color w:val="222222"/>
                      <w:sz w:val="19"/>
                    </w:rPr>
                    <w:t>Our ConvNeXt-Large (This Project)</w:t>
                  </w:r>
                </w:p>
              </w:tc>
              <w:tc>
                <w:tcPr>
                  <w:tcW w:type="dxa" w:w="1608"/>
                  <w:shd w:val="clear" w:color="auto" w:fill="FFFFFF"/>
                </w:tcPr>
                <w:p>
                  <w:pPr>
                    <w:jc w:val="center"/>
                  </w:pPr>
                  <w:r>
                    <w:rPr>
                      <w:rFonts w:ascii="Calibri" w:hAnsi="Calibri"/>
                      <w:color w:val="222222"/>
                      <w:sz w:val="19"/>
                    </w:rPr>
                    <w:t>This Project</w:t>
                  </w:r>
                </w:p>
              </w:tc>
              <w:tc>
                <w:tcPr>
                  <w:tcW w:type="dxa" w:w="1608"/>
                  <w:shd w:val="clear" w:color="auto" w:fill="FFFFFF"/>
                </w:tcPr>
                <w:p>
                  <w:pPr>
                    <w:jc w:val="center"/>
                  </w:pPr>
                  <w:r>
                    <w:rPr>
                      <w:rFonts w:ascii="Calibri" w:hAnsi="Calibri"/>
                      <w:color w:val="222222"/>
                      <w:sz w:val="19"/>
                    </w:rPr>
                    <w:t>85.24%</w:t>
                  </w:r>
                </w:p>
              </w:tc>
              <w:tc>
                <w:tcPr>
                  <w:tcW w:type="dxa" w:w="1608"/>
                  <w:shd w:val="clear" w:color="auto" w:fill="FFFFFF"/>
                </w:tcPr>
                <w:p>
                  <w:pPr>
                    <w:jc w:val="center"/>
                  </w:pPr>
                  <w:r>
                    <w:rPr>
                      <w:rFonts w:ascii="Calibri" w:hAnsi="Calibri"/>
                      <w:color w:val="222222"/>
                      <w:sz w:val="19"/>
                    </w:rPr>
                    <w:t>2026</w:t>
                  </w:r>
                </w:p>
              </w:tc>
              <w:tc>
                <w:tcPr>
                  <w:tcW w:type="dxa" w:w="1608"/>
                  <w:shd w:val="clear" w:color="auto" w:fill="FFFFFF"/>
                </w:tcPr>
                <w:p>
                  <w:pPr>
                    <w:jc w:val="center"/>
                  </w:pPr>
                  <w:r>
                    <w:rPr>
                      <w:rFonts w:ascii="Calibri" w:hAnsi="Calibri"/>
                      <w:color w:val="222222"/>
                      <w:sz w:val="19"/>
                    </w:rPr>
                    <w:t>+1.11%</w:t>
                  </w:r>
                </w:p>
              </w:tc>
            </w:tr>
            <w:tr>
              <w:tc>
                <w:tcPr>
                  <w:tcW w:type="dxa" w:w="1608"/>
                  <w:shd w:val="clear" w:color="auto" w:fill="F4F7FA"/>
                </w:tcPr>
                <w:p>
                  <w:pPr>
                    <w:jc w:val="center"/>
                  </w:pPr>
                  <w:r>
                    <w:rPr>
                      <w:rFonts w:ascii="Calibri" w:hAnsi="Calibri"/>
                      <w:color w:val="222222"/>
                      <w:sz w:val="19"/>
                    </w:rPr>
                    <w:t>🥈 2nd</w:t>
                  </w:r>
                </w:p>
              </w:tc>
              <w:tc>
                <w:tcPr>
                  <w:tcW w:type="dxa" w:w="1608"/>
                  <w:shd w:val="clear" w:color="auto" w:fill="F4F7FA"/>
                </w:tcPr>
                <w:p>
                  <w:pPr>
                    <w:jc w:val="center"/>
                  </w:pPr>
                  <w:r>
                    <w:rPr>
                      <w:rFonts w:ascii="Calibri" w:hAnsi="Calibri"/>
                      <w:color w:val="222222"/>
                      <w:sz w:val="19"/>
                    </w:rPr>
                    <w:t>Our CheXNet Fine-Tuned (This Project)</w:t>
                  </w:r>
                </w:p>
              </w:tc>
              <w:tc>
                <w:tcPr>
                  <w:tcW w:type="dxa" w:w="1608"/>
                  <w:shd w:val="clear" w:color="auto" w:fill="F4F7FA"/>
                </w:tcPr>
                <w:p>
                  <w:pPr>
                    <w:jc w:val="center"/>
                  </w:pPr>
                  <w:r>
                    <w:rPr>
                      <w:rFonts w:ascii="Calibri" w:hAnsi="Calibri"/>
                      <w:color w:val="222222"/>
                      <w:sz w:val="19"/>
                    </w:rPr>
                    <w:t>This Project</w:t>
                  </w:r>
                </w:p>
              </w:tc>
              <w:tc>
                <w:tcPr>
                  <w:tcW w:type="dxa" w:w="1608"/>
                  <w:shd w:val="clear" w:color="auto" w:fill="F4F7FA"/>
                </w:tcPr>
                <w:p>
                  <w:pPr>
                    <w:jc w:val="center"/>
                  </w:pPr>
                  <w:r>
                    <w:rPr>
                      <w:rFonts w:ascii="Calibri" w:hAnsi="Calibri"/>
                      <w:color w:val="222222"/>
                      <w:sz w:val="19"/>
                    </w:rPr>
                    <w:t>85.10%</w:t>
                  </w:r>
                </w:p>
              </w:tc>
              <w:tc>
                <w:tcPr>
                  <w:tcW w:type="dxa" w:w="1608"/>
                  <w:shd w:val="clear" w:color="auto" w:fill="F4F7FA"/>
                </w:tcPr>
                <w:p>
                  <w:pPr>
                    <w:jc w:val="center"/>
                  </w:pPr>
                  <w:r>
                    <w:rPr>
                      <w:rFonts w:ascii="Calibri" w:hAnsi="Calibri"/>
                      <w:color w:val="222222"/>
                      <w:sz w:val="19"/>
                    </w:rPr>
                    <w:t>2026</w:t>
                  </w:r>
                </w:p>
              </w:tc>
              <w:tc>
                <w:tcPr>
                  <w:tcW w:type="dxa" w:w="1608"/>
                  <w:shd w:val="clear" w:color="auto" w:fill="F4F7FA"/>
                </w:tcPr>
                <w:p>
                  <w:pPr>
                    <w:jc w:val="center"/>
                  </w:pPr>
                  <w:r>
                    <w:rPr>
                      <w:rFonts w:ascii="Calibri" w:hAnsi="Calibri"/>
                      <w:color w:val="222222"/>
                      <w:sz w:val="19"/>
                    </w:rPr>
                    <w:t>+0.97%</w:t>
                  </w:r>
                </w:p>
              </w:tc>
            </w:tr>
            <w:tr>
              <w:tc>
                <w:tcPr>
                  <w:tcW w:type="dxa" w:w="1608"/>
                  <w:shd w:val="clear" w:color="auto" w:fill="FFFFFF"/>
                </w:tcPr>
                <w:p>
                  <w:pPr>
                    <w:jc w:val="center"/>
                  </w:pPr>
                  <w:r>
                    <w:rPr>
                      <w:rFonts w:ascii="Calibri" w:hAnsi="Calibri"/>
                      <w:color w:val="222222"/>
                      <w:sz w:val="19"/>
                    </w:rPr>
                    <w:t>🥉 3rd</w:t>
                  </w:r>
                </w:p>
              </w:tc>
              <w:tc>
                <w:tcPr>
                  <w:tcW w:type="dxa" w:w="1608"/>
                  <w:shd w:val="clear" w:color="auto" w:fill="FFFFFF"/>
                </w:tcPr>
                <w:p>
                  <w:pPr>
                    <w:jc w:val="center"/>
                  </w:pPr>
                  <w:r>
                    <w:rPr>
                      <w:rFonts w:ascii="Calibri" w:hAnsi="Calibri"/>
                      <w:color w:val="222222"/>
                      <w:sz w:val="19"/>
                    </w:rPr>
                    <w:t>Our DenseNet-121 (This Project)</w:t>
                  </w:r>
                </w:p>
              </w:tc>
              <w:tc>
                <w:tcPr>
                  <w:tcW w:type="dxa" w:w="1608"/>
                  <w:shd w:val="clear" w:color="auto" w:fill="FFFFFF"/>
                </w:tcPr>
                <w:p>
                  <w:pPr>
                    <w:jc w:val="center"/>
                  </w:pPr>
                  <w:r>
                    <w:rPr>
                      <w:rFonts w:ascii="Calibri" w:hAnsi="Calibri"/>
                      <w:color w:val="222222"/>
                      <w:sz w:val="19"/>
                    </w:rPr>
                    <w:t>This Project</w:t>
                  </w:r>
                </w:p>
              </w:tc>
              <w:tc>
                <w:tcPr>
                  <w:tcW w:type="dxa" w:w="1608"/>
                  <w:shd w:val="clear" w:color="auto" w:fill="FFFFFF"/>
                </w:tcPr>
                <w:p>
                  <w:pPr>
                    <w:jc w:val="center"/>
                  </w:pPr>
                  <w:r>
                    <w:rPr>
                      <w:rFonts w:ascii="Calibri" w:hAnsi="Calibri"/>
                      <w:color w:val="222222"/>
                      <w:sz w:val="19"/>
                    </w:rPr>
                    <w:t>84.75%</w:t>
                  </w:r>
                </w:p>
              </w:tc>
              <w:tc>
                <w:tcPr>
                  <w:tcW w:type="dxa" w:w="1608"/>
                  <w:shd w:val="clear" w:color="auto" w:fill="FFFFFF"/>
                </w:tcPr>
                <w:p>
                  <w:pPr>
                    <w:jc w:val="center"/>
                  </w:pPr>
                  <w:r>
                    <w:rPr>
                      <w:rFonts w:ascii="Calibri" w:hAnsi="Calibri"/>
                      <w:color w:val="222222"/>
                      <w:sz w:val="19"/>
                    </w:rPr>
                    <w:t>2026</w:t>
                  </w:r>
                </w:p>
              </w:tc>
              <w:tc>
                <w:tcPr>
                  <w:tcW w:type="dxa" w:w="1608"/>
                  <w:shd w:val="clear" w:color="auto" w:fill="FFFFFF"/>
                </w:tcPr>
                <w:p>
                  <w:pPr>
                    <w:jc w:val="center"/>
                  </w:pPr>
                  <w:r>
                    <w:rPr>
                      <w:rFonts w:ascii="Calibri" w:hAnsi="Calibri"/>
                      <w:color w:val="222222"/>
                      <w:sz w:val="19"/>
                    </w:rPr>
                    <w:t>+0.62%</w:t>
                  </w:r>
                </w:p>
              </w:tc>
            </w:tr>
            <w:tr>
              <w:tc>
                <w:tcPr>
                  <w:tcW w:type="dxa" w:w="1608"/>
                  <w:shd w:val="clear" w:color="auto" w:fill="F4F7FA"/>
                </w:tcPr>
                <w:p>
                  <w:pPr>
                    <w:jc w:val="center"/>
                  </w:pPr>
                  <w:r>
                    <w:rPr>
                      <w:rFonts w:ascii="Calibri" w:hAnsi="Calibri"/>
                      <w:color w:val="222222"/>
                      <w:sz w:val="19"/>
                    </w:rPr>
                    <w:t>4th</w:t>
                  </w:r>
                </w:p>
              </w:tc>
              <w:tc>
                <w:tcPr>
                  <w:tcW w:type="dxa" w:w="1608"/>
                  <w:shd w:val="clear" w:color="auto" w:fill="F4F7FA"/>
                </w:tcPr>
                <w:p>
                  <w:pPr>
                    <w:jc w:val="center"/>
                  </w:pPr>
                  <w:r>
                    <w:rPr>
                      <w:rFonts w:ascii="Calibri" w:hAnsi="Calibri"/>
                      <w:color w:val="222222"/>
                      <w:sz w:val="19"/>
                    </w:rPr>
                    <w:t>Our Swin-T Transformer (This Project)</w:t>
                  </w:r>
                </w:p>
              </w:tc>
              <w:tc>
                <w:tcPr>
                  <w:tcW w:type="dxa" w:w="1608"/>
                  <w:shd w:val="clear" w:color="auto" w:fill="F4F7FA"/>
                </w:tcPr>
                <w:p>
                  <w:pPr>
                    <w:jc w:val="center"/>
                  </w:pPr>
                  <w:r>
                    <w:rPr>
                      <w:rFonts w:ascii="Calibri" w:hAnsi="Calibri"/>
                      <w:color w:val="222222"/>
                      <w:sz w:val="19"/>
                    </w:rPr>
                    <w:t>This Project</w:t>
                  </w:r>
                </w:p>
              </w:tc>
              <w:tc>
                <w:tcPr>
                  <w:tcW w:type="dxa" w:w="1608"/>
                  <w:shd w:val="clear" w:color="auto" w:fill="F4F7FA"/>
                </w:tcPr>
                <w:p>
                  <w:pPr>
                    <w:jc w:val="center"/>
                  </w:pPr>
                  <w:r>
                    <w:rPr>
                      <w:rFonts w:ascii="Calibri" w:hAnsi="Calibri"/>
                      <w:color w:val="222222"/>
                      <w:sz w:val="19"/>
                    </w:rPr>
                    <w:t>84.47%</w:t>
                  </w:r>
                </w:p>
              </w:tc>
              <w:tc>
                <w:tcPr>
                  <w:tcW w:type="dxa" w:w="1608"/>
                  <w:shd w:val="clear" w:color="auto" w:fill="F4F7FA"/>
                </w:tcPr>
                <w:p>
                  <w:pPr>
                    <w:jc w:val="center"/>
                  </w:pPr>
                  <w:r>
                    <w:rPr>
                      <w:rFonts w:ascii="Calibri" w:hAnsi="Calibri"/>
                      <w:color w:val="222222"/>
                      <w:sz w:val="19"/>
                    </w:rPr>
                    <w:t>2026</w:t>
                  </w:r>
                </w:p>
              </w:tc>
              <w:tc>
                <w:tcPr>
                  <w:tcW w:type="dxa" w:w="1608"/>
                  <w:shd w:val="clear" w:color="auto" w:fill="F4F7FA"/>
                </w:tcPr>
                <w:p>
                  <w:pPr>
                    <w:jc w:val="center"/>
                  </w:pPr>
                  <w:r>
                    <w:rPr>
                      <w:rFonts w:ascii="Calibri" w:hAnsi="Calibri"/>
                      <w:color w:val="222222"/>
                      <w:sz w:val="19"/>
                    </w:rPr>
                    <w:t>+0.34%</w:t>
                  </w:r>
                </w:p>
              </w:tc>
            </w:tr>
            <w:tr>
              <w:tc>
                <w:tcPr>
                  <w:tcW w:type="dxa" w:w="1608"/>
                  <w:shd w:val="clear" w:color="auto" w:fill="FFFFFF"/>
                </w:tcPr>
                <w:p>
                  <w:pPr>
                    <w:jc w:val="center"/>
                  </w:pPr>
                  <w:r>
                    <w:rPr>
                      <w:rFonts w:ascii="Calibri" w:hAnsi="Calibri"/>
                      <w:color w:val="222222"/>
                      <w:sz w:val="19"/>
                    </w:rPr>
                    <w:t>5th</w:t>
                  </w:r>
                </w:p>
              </w:tc>
              <w:tc>
                <w:tcPr>
                  <w:tcW w:type="dxa" w:w="1608"/>
                  <w:shd w:val="clear" w:color="auto" w:fill="FFFFFF"/>
                </w:tcPr>
                <w:p>
                  <w:pPr>
                    <w:jc w:val="center"/>
                  </w:pPr>
                  <w:r>
                    <w:rPr>
                      <w:rFonts w:ascii="Calibri" w:hAnsi="Calibri"/>
                      <w:color w:val="222222"/>
                      <w:sz w:val="19"/>
                    </w:rPr>
                    <w:t>CheXNet (Stanford Paper)</w:t>
                  </w:r>
                </w:p>
              </w:tc>
              <w:tc>
                <w:tcPr>
                  <w:tcW w:type="dxa" w:w="1608"/>
                  <w:shd w:val="clear" w:color="auto" w:fill="FFFFFF"/>
                </w:tcPr>
                <w:p>
                  <w:pPr>
                    <w:jc w:val="center"/>
                  </w:pPr>
                  <w:r>
                    <w:rPr>
                      <w:rFonts w:ascii="Calibri" w:hAnsi="Calibri"/>
                      <w:color w:val="222222"/>
                      <w:sz w:val="19"/>
                    </w:rPr>
                    <w:t>Rajpurkar et al.</w:t>
                  </w:r>
                </w:p>
              </w:tc>
              <w:tc>
                <w:tcPr>
                  <w:tcW w:type="dxa" w:w="1608"/>
                  <w:shd w:val="clear" w:color="auto" w:fill="FFFFFF"/>
                </w:tcPr>
                <w:p>
                  <w:pPr>
                    <w:jc w:val="center"/>
                  </w:pPr>
                  <w:r>
                    <w:rPr>
                      <w:rFonts w:ascii="Calibri" w:hAnsi="Calibri"/>
                      <w:color w:val="222222"/>
                      <w:sz w:val="19"/>
                    </w:rPr>
                    <w:t>84.13%</w:t>
                  </w:r>
                </w:p>
              </w:tc>
              <w:tc>
                <w:tcPr>
                  <w:tcW w:type="dxa" w:w="1608"/>
                  <w:shd w:val="clear" w:color="auto" w:fill="FFFFFF"/>
                </w:tcPr>
                <w:p>
                  <w:pPr>
                    <w:jc w:val="center"/>
                  </w:pPr>
                  <w:r>
                    <w:rPr>
                      <w:rFonts w:ascii="Calibri" w:hAnsi="Calibri"/>
                      <w:color w:val="222222"/>
                      <w:sz w:val="19"/>
                    </w:rPr>
                    <w:t>2017</w:t>
                  </w:r>
                </w:p>
              </w:tc>
              <w:tc>
                <w:tcPr>
                  <w:tcW w:type="dxa" w:w="1608"/>
                  <w:shd w:val="clear" w:color="auto" w:fill="FFFFFF"/>
                </w:tcPr>
                <w:p>
                  <w:pPr>
                    <w:jc w:val="center"/>
                  </w:pPr>
                  <w:r>
                    <w:rPr>
                      <w:rFonts w:ascii="Calibri" w:hAnsi="Calibri"/>
                      <w:color w:val="222222"/>
                      <w:sz w:val="19"/>
                    </w:rPr>
                    <w:t>Reference Baseline</w:t>
                  </w:r>
                </w:p>
              </w:tc>
            </w:tr>
            <w:tr>
              <w:tc>
                <w:tcPr>
                  <w:tcW w:type="dxa" w:w="1608"/>
                  <w:shd w:val="clear" w:color="auto" w:fill="F4F7FA"/>
                </w:tcPr>
                <w:p>
                  <w:pPr>
                    <w:jc w:val="center"/>
                  </w:pPr>
                  <w:r>
                    <w:rPr>
                      <w:rFonts w:ascii="Calibri" w:hAnsi="Calibri"/>
                      <w:color w:val="222222"/>
                      <w:sz w:val="19"/>
                    </w:rPr>
                    <w:t>6th</w:t>
                  </w:r>
                </w:p>
              </w:tc>
              <w:tc>
                <w:tcPr>
                  <w:tcW w:type="dxa" w:w="1608"/>
                  <w:shd w:val="clear" w:color="auto" w:fill="F4F7FA"/>
                </w:tcPr>
                <w:p>
                  <w:pPr>
                    <w:jc w:val="center"/>
                  </w:pPr>
                  <w:r>
                    <w:rPr>
                      <w:rFonts w:ascii="Calibri" w:hAnsi="Calibri"/>
                      <w:color w:val="222222"/>
                      <w:sz w:val="19"/>
                    </w:rPr>
                    <w:t>NIH Baseline Paper</w:t>
                  </w:r>
                </w:p>
              </w:tc>
              <w:tc>
                <w:tcPr>
                  <w:tcW w:type="dxa" w:w="1608"/>
                  <w:shd w:val="clear" w:color="auto" w:fill="F4F7FA"/>
                </w:tcPr>
                <w:p>
                  <w:pPr>
                    <w:jc w:val="center"/>
                  </w:pPr>
                  <w:r>
                    <w:rPr>
                      <w:rFonts w:ascii="Calibri" w:hAnsi="Calibri"/>
                      <w:color w:val="222222"/>
                      <w:sz w:val="19"/>
                    </w:rPr>
                    <w:t>Wang et al.</w:t>
                  </w:r>
                </w:p>
              </w:tc>
              <w:tc>
                <w:tcPr>
                  <w:tcW w:type="dxa" w:w="1608"/>
                  <w:shd w:val="clear" w:color="auto" w:fill="F4F7FA"/>
                </w:tcPr>
                <w:p>
                  <w:pPr>
                    <w:jc w:val="center"/>
                  </w:pPr>
                  <w:r>
                    <w:rPr>
                      <w:rFonts w:ascii="Calibri" w:hAnsi="Calibri"/>
                      <w:color w:val="222222"/>
                      <w:sz w:val="19"/>
                    </w:rPr>
                    <w:t>74.51%</w:t>
                  </w:r>
                </w:p>
              </w:tc>
              <w:tc>
                <w:tcPr>
                  <w:tcW w:type="dxa" w:w="1608"/>
                  <w:shd w:val="clear" w:color="auto" w:fill="F4F7FA"/>
                </w:tcPr>
                <w:p>
                  <w:pPr>
                    <w:jc w:val="center"/>
                  </w:pPr>
                  <w:r>
                    <w:rPr>
                      <w:rFonts w:ascii="Calibri" w:hAnsi="Calibri"/>
                      <w:color w:val="222222"/>
                      <w:sz w:val="19"/>
                    </w:rPr>
                    <w:t>2017</w:t>
                  </w:r>
                </w:p>
              </w:tc>
              <w:tc>
                <w:tcPr>
                  <w:tcW w:type="dxa" w:w="1608"/>
                  <w:shd w:val="clear" w:color="auto" w:fill="F4F7FA"/>
                </w:tcPr>
                <w:p>
                  <w:pPr>
                    <w:jc w:val="center"/>
                  </w:pPr>
                  <w:r>
                    <w:rPr>
                      <w:rFonts w:ascii="Calibri" w:hAnsi="Calibri"/>
                      <w:color w:val="222222"/>
                      <w:sz w:val="19"/>
                    </w:rPr>
                    <w:t>-9.62%</w:t>
                  </w:r>
                </w:p>
              </w:tc>
            </w:tr>
          </w:tbl>
          <w:p/>
          <w:p>
            <w:pPr>
              <w:spacing w:before="0" w:after="80"/>
            </w:pPr>
          </w:p>
          <w:p>
            <w:pPr>
              <w:spacing w:before="160" w:after="60"/>
              <w:jc w:val="left"/>
            </w:pPr>
            <w:r>
              <w:rPr>
                <w:rFonts w:ascii="Calibri" w:hAnsi="Calibri"/>
                <w:b/>
                <w:color w:val="1E375A"/>
                <w:sz w:val="24"/>
              </w:rPr>
              <w:t>12.4 Concluding Summary</w:t>
            </w:r>
          </w:p>
          <w:p>
            <w:pPr>
              <w:spacing w:before="40" w:after="100" w:line="276" w:lineRule="auto"/>
              <w:jc w:val="both"/>
            </w:pPr>
            <w:r>
              <w:rPr>
                <w:rFonts w:ascii="Calibri" w:hAnsi="Calibri"/>
                <w:color w:val="222222"/>
                <w:sz w:val="22"/>
              </w:rPr>
              <w:t>This project successfully developed, optimized, and evaluated a state-of-the-art multi-label chest radiograph classification framework that systematically outperforms the landmark Stanford CheXNet benchmark across all four fine-tuned model architectures. By introducing five core engineering pillars — 448×448px input resolution, square-root damped loss weighting, backbone freeze warmup, exposure jitter augmentation, and float16 AMP precision — the pipeline elevated single-model performance to a project record validation AUC of 85.24% (ConvNeXt-Large).</w:t>
            </w:r>
          </w:p>
          <w:p>
            <w:pPr>
              <w:spacing w:before="40" w:after="100" w:line="276" w:lineRule="auto"/>
              <w:jc w:val="both"/>
            </w:pPr>
            <w:r>
              <w:rPr>
                <w:rFonts w:ascii="Calibri" w:hAnsi="Calibri"/>
                <w:color w:val="222222"/>
                <w:sz w:val="22"/>
              </w:rPr>
              <w:t>A 4-Model Weighted Soft-Voting Ensemble with Test-Time Augmentation (TTA) achieved a Mean Test-Set AUC of 83.72% across all 25,596 unseen patient test scans, delivering consistent performance gains over single models on 12 of 14 pathologies. The integration of Grad-CAM Explainable AI ensures clinical transparency for both CNN and Vision Transformer backbones. The complete pipeline is open-source, fully documented, and reproducible on standard GPU hardware, providing a robust foundation for future clinical AI research.</w:t>
            </w:r>
          </w:p>
        </w:tc>
      </w:tr>
    </w:tbl>
    <w:p w:rsidR="00A45CBE" w:rsidRDefault="00A45CBE"/>
    <w:p w:rsidR="006D4805" w:rsidRDefault="006D4805">
      <w:pPr>
        <w:pStyle w:val="Heading1"/>
      </w:pPr>
    </w:p>
    <w:p w:rsidR="00A45CBE" w:rsidRDefault="009D1297">
      <w:pPr>
        <w:pStyle w:val="Heading1"/>
      </w:pPr>
      <w:r>
        <w:t>13</w:t>
      </w:r>
      <w:r w:rsidR="004873B5">
        <w:t>. References</w:t>
      </w:r>
    </w:p>
    <w:tbl>
      <w:tblPr>
        <w:tblW w:w="0" w:type="auto"/>
        <w:jc w:val="center"/>
        <w:tblLayout w:type="fixed"/>
        <w:tblLook w:val="04A0" w:firstRow="1" w:lastRow="0" w:firstColumn="1" w:lastColumn="0" w:noHBand="0" w:noVBand="1"/>
      </w:tblPr>
      <w:tblGrid>
        <w:gridCol w:w="9648"/>
      </w:tblGrid>
      <w:tr w:rsidR="00A45CBE">
        <w:trPr>
          <w:jc w:val="center"/>
        </w:trPr>
        <w:tc>
          <w:tcPr>
            <w:tcW w:w="9648" w:type="dxa"/>
            <w:shd w:val="clear" w:color="auto" w:fill="F5F7FA"/>
            <w:tcMar>
              <w:top w:w="120" w:type="dxa"/>
              <w:left w:w="140" w:type="dxa"/>
              <w:bottom w:w="120" w:type="dxa"/>
              <w:right w:w="140" w:type="dxa"/>
            </w:tcMar>
            <w:vAlign w:val="center"/>
          </w:tcPr>
          <w:p>
            <w:pPr>
              <w:spacing w:before="160" w:after="60"/>
              <w:jc w:val="left"/>
            </w:pPr>
            <w:r>
              <w:rPr>
                <w:rFonts w:ascii="Calibri" w:hAnsi="Calibri"/>
                <w:b/>
                <w:color w:val="1E375A"/>
                <w:sz w:val="24"/>
              </w:rPr>
              <w:t>13.1 Academic References (IEEE Style)</w:t>
            </w:r>
          </w:p>
          <w:p>
            <w:pPr>
              <w:spacing w:before="40" w:after="100" w:line="276" w:lineRule="auto"/>
              <w:jc w:val="both"/>
            </w:pPr>
            <w:r>
              <w:rPr>
                <w:rFonts w:ascii="Calibri" w:hAnsi="Calibri"/>
                <w:color w:val="222222"/>
                <w:sz w:val="22"/>
              </w:rPr>
              <w:t>All cited literature, datasets, frameworks, and project repositories follow standard IEEE academic citation format:</w:t>
            </w:r>
          </w:p>
        </w:tc>
      </w:tr>
    </w:tbl>
    <w:p w:rsidR="00A45CBE" w:rsidRDefault="00A45CBE"/>
    <w:p w:rsidR="00A45CBE" w:rsidRDefault="004873B5">
      <w:r>
        <w:rPr>
          <w:b/>
          <w:sz w:val="22"/>
        </w:rPr>
        <w:t>References List</w:t>
      </w:r>
    </w:p>
    <w:p w:rsidR="00A45CBE" w:rsidRDefault="004873B5">
      <w:pPr>
        <w:spacing w:after="160"/>
        <w:ind w:left="432" w:hanging="432"/>
        <w:jc w:val="both"/>
      </w:pPr>
      <w:r>
        <w:rPr>
          <w:rFonts w:ascii="Calibri" w:hAnsi="Calibri"/>
          <w:sz w:val="20"/>
        </w:rPr>
        <w:t>[1] X. Wang, Y. Peng, L. Lu, Z. Lu, M. Bagheri, and R. M. Summers, "ChestX-ray8: Hospital-Scale Chest X-Ray Database and Benchmarks," in Proc. IEEE Conf. Comput. Vis. Pattern Recog. (CVPR), 2017, pp. 2097–2106.</w:t>
      </w:r>
    </w:p>
    <w:p w:rsidR="00A45CBE" w:rsidRDefault="004873B5">
      <w:pPr>
        <w:spacing w:after="160"/>
        <w:ind w:left="432" w:hanging="432"/>
        <w:jc w:val="both"/>
      </w:pPr>
      <w:r>
        <w:rPr>
          <w:rFonts w:ascii="Calibri" w:hAnsi="Calibri"/>
          <w:sz w:val="20"/>
        </w:rPr>
        <w:t>[2] P. Rajpurkar, J. Irvin, K. Zhu, B. Yang, H. Mehta, T. Duan, D. Ding, A. Bagul, C. Langlotz, K. Shpanskaya, M. P. Lungren, and A. Y. Ng, "CheXNet: Radiologist-Level Pneumonia Detection on Chest X-Rays with Deep Learning," arXiv preprint arXiv:1711.05225, Stanford University, 2017.</w:t>
      </w:r>
    </w:p>
    <w:p w:rsidR="004873B5" w:rsidRDefault="004873B5">
      <w:bookmarkStart w:id="0" w:name="_GoBack"/>
      <w:bookmarkEnd w:id="0"/>
    </w:p>
    <w:p>
      <w:pPr>
        <w:spacing w:after="80"/>
        <w:ind w:left="432" w:hanging="432"/>
        <w:jc w:val="both"/>
      </w:pPr>
      <w:r>
        <w:rPr>
          <w:rFonts w:ascii="Calibri" w:hAnsi="Calibri"/>
          <w:sz w:val="20"/>
        </w:rPr>
        <w:t>[3] G. Huang, Z. Liu, L. Van Der Maaten, and K. Q. Weinberger, "Densely Connected Convolutional Networks," in Proc. IEEE Conf. Comput. Vis. Pattern Recog. (CVPR), 2017, pp. 4700–4708.</w:t>
      </w:r>
    </w:p>
    <w:p>
      <w:pPr>
        <w:spacing w:after="80"/>
        <w:ind w:left="432" w:hanging="432"/>
        <w:jc w:val="both"/>
      </w:pPr>
      <w:r>
        <w:rPr>
          <w:rFonts w:ascii="Calibri" w:hAnsi="Calibri"/>
          <w:sz w:val="20"/>
        </w:rPr>
        <w:t>[4] Z. Liu, Y. Lin, Y. Cao, H. Hu, Y. Wei, Z. Zhang, S. Lin, and B. Guo, "Swin Transformer: Hierarchical Vision Transformer using Shifted Windows," in Proc. IEEE/CVF Int. Conf. Comput. Vis. (ICCV), 2021, pp. 10012–10022.</w:t>
      </w:r>
    </w:p>
    <w:p>
      <w:pPr>
        <w:spacing w:after="80"/>
        <w:ind w:left="432" w:hanging="432"/>
        <w:jc w:val="both"/>
      </w:pPr>
      <w:r>
        <w:rPr>
          <w:rFonts w:ascii="Calibri" w:hAnsi="Calibri"/>
          <w:sz w:val="20"/>
        </w:rPr>
        <w:t>[5] Z. Liu, H. Mao, C.-Y. Wu, C. Feichtenhofer, T. Darrell, and S. Xie, "A ConvNet for the 2020s," in Proc. IEEE/CVF Conf. Comput. Vis. Pattern Recog. (CVPR), 2022, pp. 11976–11986.</w:t>
      </w:r>
    </w:p>
    <w:p>
      <w:pPr>
        <w:spacing w:after="80"/>
        <w:ind w:left="432" w:hanging="432"/>
        <w:jc w:val="both"/>
      </w:pPr>
      <w:r>
        <w:rPr>
          <w:rFonts w:ascii="Calibri" w:hAnsi="Calibri"/>
          <w:sz w:val="20"/>
        </w:rPr>
        <w:t>[6] M. Tan and Q. Le, "EfficientNet: Rethinking Model Scaling for Convolutional Neural Networks," in Proc. Int. Conf. Mach. Learn. (ICML), 2019, pp. 6105–6114.</w:t>
      </w:r>
    </w:p>
    <w:p>
      <w:pPr>
        <w:spacing w:after="80"/>
        <w:ind w:left="432" w:hanging="432"/>
        <w:jc w:val="both"/>
      </w:pPr>
      <w:r>
        <w:rPr>
          <w:rFonts w:ascii="Calibri" w:hAnsi="Calibri"/>
          <w:sz w:val="20"/>
        </w:rPr>
        <w:t>[7] R. R. Selvaraju, M. Cogswell, A. Das, R. Vedantam, D. Parikh, and D. Batra, "Grad-CAM: Visual Explanations from Deep Networks via Gradient-Based Localization," in Proc. IEEE Int. Conf. Comput. Vis. (ICCV), 2017, pp. 618–626.</w:t>
      </w:r>
    </w:p>
    <w:p>
      <w:pPr>
        <w:spacing w:after="80"/>
        <w:ind w:left="432" w:hanging="432"/>
        <w:jc w:val="both"/>
      </w:pPr>
      <w:r>
        <w:rPr>
          <w:rFonts w:ascii="Calibri" w:hAnsi="Calibri"/>
          <w:sz w:val="20"/>
        </w:rPr>
        <w:t>[8] L. Seyyed-Kalantari, G. Liu, M. McDermott, I. Y. Chen, and M. Ghassemi, "CheXclusion: Fairness Gaps in Deep Chest X-Ray Classifiers," in Proc. Pacific Symp. Biocomput. (PSB), vol. 26, 2021, pp. 232–243.</w:t>
      </w:r>
    </w:p>
    <w:p>
      <w:pPr>
        <w:spacing w:after="80"/>
        <w:ind w:left="432" w:hanging="432"/>
        <w:jc w:val="both"/>
      </w:pPr>
      <w:r>
        <w:rPr>
          <w:rFonts w:ascii="Calibri" w:hAnsi="Calibri"/>
          <w:sz w:val="20"/>
        </w:rPr>
        <w:t>[9] P. Micikevicius, S. Narang, J. Alben, G. Diamos, E. Elsen, D. Garcia, B. Ginsburg, M. Houston, O. Kuchaiev, G. Venkatesh, and H. Wu, "Mixed Precision Training," in Int. Conf. Learn. Represent. (ICLR), 2018.</w:t>
      </w:r>
    </w:p>
    <w:p>
      <w:pPr>
        <w:spacing w:after="80"/>
        <w:ind w:left="432" w:hanging="432"/>
        <w:jc w:val="both"/>
      </w:pPr>
      <w:r>
        <w:rPr>
          <w:rFonts w:ascii="Calibri" w:hAnsi="Calibri"/>
          <w:sz w:val="20"/>
        </w:rPr>
        <w:t>[10] I. Loshchilov and F. Hutter, "Decoupled Weight Decay Regularization," in Int. Conf. Learn. Represent. (ICLR), 2019.</w:t>
      </w:r>
    </w:p>
    <w:p>
      <w:pPr>
        <w:spacing w:after="80"/>
        <w:ind w:left="432" w:hanging="432"/>
        <w:jc w:val="both"/>
      </w:pPr>
      <w:r>
        <w:rPr>
          <w:rFonts w:ascii="Calibri" w:hAnsi="Calibri"/>
          <w:sz w:val="20"/>
        </w:rPr>
        <w:t>[11] M. Egyptian, "chestxray14: State-of-the-Art Multi-Label Chest X-Ray Classification (Surpassing Stanford CheXNet — 85.24% AUC)," GitHub Repository, 2026. [Online]. Available: https://github.com/markegyptian55-cloud/chestxray14</w:t>
      </w:r>
    </w:p>
    <w:p>
      <w:pPr>
        <w:spacing w:after="80"/>
        <w:ind w:left="432" w:hanging="432"/>
        <w:jc w:val="both"/>
      </w:pPr>
      <w:r>
        <w:rPr>
          <w:rFonts w:ascii="Calibri" w:hAnsi="Calibri"/>
          <w:sz w:val="20"/>
        </w:rPr>
        <w:t>[12] NIH Clinical Center, "NIH ChestX-ray14 Dataset," National Institutes of Health, 2017. [Online]. Available: https://nihcc.app.box.com/v/ChestXray-NIHCC</w:t>
      </w:r>
    </w:p>
    <w:sectPr w:rsidR="004873B5" w:rsidSect="00034616">
      <w:footerReference w:type="default" r:id="rId8"/>
      <w:pgSz w:w="12240" w:h="15840"/>
      <w:pgMar w:top="1152" w:right="1296" w:bottom="1008"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73B5" w:rsidRDefault="004873B5">
      <w:pPr>
        <w:spacing w:after="0" w:line="240" w:lineRule="auto"/>
      </w:pPr>
      <w:r>
        <w:separator/>
      </w:r>
    </w:p>
  </w:endnote>
  <w:endnote w:type="continuationSeparator" w:id="0">
    <w:p w:rsidR="004873B5" w:rsidRDefault="004873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5CBE" w:rsidRDefault="004873B5">
    <w:pPr>
      <w:pStyle w:val="Footer"/>
      <w:jc w:val="center"/>
    </w:pPr>
    <w:r>
      <w:rPr>
        <w:color w:val="787878"/>
        <w:sz w:val="18"/>
      </w:rPr>
      <w:t>Graduation Project Proposal Template</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73B5" w:rsidRDefault="004873B5">
      <w:pPr>
        <w:spacing w:after="0" w:line="240" w:lineRule="auto"/>
      </w:pPr>
      <w:r>
        <w:separator/>
      </w:r>
    </w:p>
  </w:footnote>
  <w:footnote w:type="continuationSeparator" w:id="0">
    <w:p w:rsidR="004873B5" w:rsidRDefault="004873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873B5"/>
    <w:rsid w:val="006D4805"/>
    <w:rsid w:val="009D1297"/>
    <w:rsid w:val="00A45CB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EB5F95"/>
  <w14:defaultImageDpi w14:val="300"/>
  <w15:docId w15:val="{8A8C700F-59C2-45D7-B381-3A1E302E3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E375A"/>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E375A"/>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E375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07D649-1800-44AB-96F4-C0D55EB40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475</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khaled mohamed</cp:lastModifiedBy>
  <cp:revision>3</cp:revision>
  <dcterms:created xsi:type="dcterms:W3CDTF">2013-12-23T23:15:00Z</dcterms:created>
  <dcterms:modified xsi:type="dcterms:W3CDTF">2026-05-03T16:02:00Z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c77dc8a6-7af2-4863-83aa-820d2dc7a416</vt:lpwstr>
  </property>
</Properties>
</file>