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5CBE" w:rsidRDefault="004873B5">
      <w:pPr>
        <w:spacing w:before="1800"/>
        <w:jc w:val="center"/>
      </w:pPr>
      <w:r>
        <w:rPr>
          <w:b/>
          <w:color w:val="1E375A"/>
        </w:rPr>
        <w:t>GRADUATION PROJECT FINAL DOCUMENTATION</w:t>
      </w:r>
    </w:p>
    <w:p w:rsidR="00A45CBE" w:rsidRDefault="00A45CBE"/>
    <w:tbl>
      <w:tblPr>
        <w:tblW w:w="0" w:type="auto"/>
        <w:jc w:val="center"/>
        <w:tblLayout w:type="fixed"/>
        <w:tblLook w:val="04A0" w:firstRow="1" w:lastRow="0" w:firstColumn="1" w:lastColumn="0" w:noHBand="0" w:noVBand="1"/>
      </w:tblPr>
      <w:tblGrid>
        <w:gridCol w:w="3024"/>
        <w:gridCol w:w="6624"/>
      </w:tblGrid>
      <w:tr w:rsidR="00A45CBE">
        <w:trPr>
          <w:jc w:val="center"/>
        </w:trPr>
        <w:tc>
          <w:tcPr>
            <w:tcW w:w="3024" w:type="dxa"/>
            <w:shd w:val="clear" w:color="auto" w:fill="EAF0F7"/>
            <w:tcMar>
              <w:top w:w="120" w:type="dxa"/>
              <w:left w:w="130" w:type="dxa"/>
              <w:bottom w:w="120" w:type="dxa"/>
              <w:right w:w="130" w:type="dxa"/>
            </w:tcMar>
            <w:vAlign w:val="center"/>
          </w:tcPr>
          <w:p w:rsidR="00A45CBE" w:rsidRDefault="004873B5">
            <w:pPr>
              <w:spacing w:after="0"/>
            </w:pPr>
            <w:r>
              <w:rPr>
                <w:b/>
                <w:color w:val="1E375A"/>
              </w:rPr>
              <w:t>Program</w:t>
            </w:r>
          </w:p>
        </w:tc>
        <w:tc>
          <w:tcPr>
            <w:tcW w:w="6624" w:type="dxa"/>
            <w:tcMar>
              <w:top w:w="120" w:type="dxa"/>
              <w:left w:w="130" w:type="dxa"/>
              <w:bottom w:w="120" w:type="dxa"/>
              <w:right w:w="130" w:type="dxa"/>
            </w:tcMar>
            <w:vAlign w:val="center"/>
          </w:tcPr>
          <w:p>
            <w:r>
              <w:rPr>
                <w:rFonts w:ascii="Calibri" w:hAnsi="Calibri"/>
                <w:color w:val="222222"/>
                <w:sz w:val="22"/>
              </w:rPr>
              <w:t>Bachelor of Science in Computer Science / Artificial Intelligence</w:t>
            </w:r>
          </w:p>
        </w:tc>
      </w:tr>
      <w:tr w:rsidR="00A45CBE">
        <w:trPr>
          <w:jc w:val="center"/>
        </w:trPr>
        <w:tc>
          <w:tcPr>
            <w:tcW w:w="3024" w:type="dxa"/>
            <w:shd w:val="clear" w:color="auto" w:fill="EAF0F7"/>
            <w:tcMar>
              <w:top w:w="120" w:type="dxa"/>
              <w:left w:w="130" w:type="dxa"/>
              <w:bottom w:w="120" w:type="dxa"/>
              <w:right w:w="130" w:type="dxa"/>
            </w:tcMar>
            <w:vAlign w:val="center"/>
          </w:tcPr>
          <w:p w:rsidR="00A45CBE" w:rsidRDefault="004873B5">
            <w:pPr>
              <w:spacing w:after="0"/>
            </w:pPr>
            <w:r>
              <w:rPr>
                <w:b/>
                <w:color w:val="1E375A"/>
              </w:rPr>
              <w:t>Project Title</w:t>
            </w:r>
          </w:p>
        </w:tc>
        <w:tc>
          <w:tcPr>
            <w:tcW w:w="6624" w:type="dxa"/>
            <w:tcMar>
              <w:top w:w="120" w:type="dxa"/>
              <w:left w:w="130" w:type="dxa"/>
              <w:bottom w:w="120" w:type="dxa"/>
              <w:right w:w="130" w:type="dxa"/>
            </w:tcMar>
            <w:vAlign w:val="center"/>
          </w:tcPr>
          <w:p>
            <w:r>
              <w:rPr>
                <w:rFonts w:ascii="Calibri" w:hAnsi="Calibri"/>
                <w:color w:val="222222"/>
                <w:sz w:val="22"/>
              </w:rPr>
              <w:t>State-of-the-Art Multi-Label Chest X-Ray Classification Using Deep Learning</w:t>
              <w:br/>
              <w:t>(Surpassing Stanford CheXNet on NIH ChestX-ray14 — 85.24% AUC)</w:t>
            </w:r>
          </w:p>
        </w:tc>
      </w:tr>
      <w:tr w:rsidR="00A45CBE">
        <w:trPr>
          <w:jc w:val="center"/>
        </w:trPr>
        <w:tc>
          <w:tcPr>
            <w:tcW w:w="3024" w:type="dxa"/>
            <w:shd w:val="clear" w:color="auto" w:fill="EAF0F7"/>
            <w:tcMar>
              <w:top w:w="120" w:type="dxa"/>
              <w:left w:w="130" w:type="dxa"/>
              <w:bottom w:w="120" w:type="dxa"/>
              <w:right w:w="130" w:type="dxa"/>
            </w:tcMar>
            <w:vAlign w:val="center"/>
          </w:tcPr>
          <w:p w:rsidR="00A45CBE" w:rsidRDefault="004873B5">
            <w:pPr>
              <w:spacing w:after="0"/>
            </w:pPr>
            <w:r>
              <w:rPr>
                <w:b/>
                <w:color w:val="1E375A"/>
              </w:rPr>
              <w:t>Student Name(s) &amp; ID(s)</w:t>
            </w:r>
          </w:p>
        </w:tc>
        <w:tc>
          <w:tcPr>
            <w:tcW w:w="6624" w:type="dxa"/>
            <w:tcMar>
              <w:top w:w="120" w:type="dxa"/>
              <w:left w:w="130" w:type="dxa"/>
              <w:bottom w:w="120" w:type="dxa"/>
              <w:right w:w="130" w:type="dxa"/>
            </w:tcMar>
            <w:vAlign w:val="center"/>
          </w:tcPr>
          <w:p>
            <w:r>
              <w:rPr>
                <w:rFonts w:ascii="Calibri" w:hAnsi="Calibri"/>
                <w:color w:val="222222"/>
                <w:sz w:val="22"/>
              </w:rPr>
              <w:t>Mark Egyptian — Student ID: markegyptian55</w:t>
            </w:r>
          </w:p>
        </w:tc>
      </w:tr>
      <w:tr w:rsidR="00A45CBE">
        <w:trPr>
          <w:jc w:val="center"/>
        </w:trPr>
        <w:tc>
          <w:tcPr>
            <w:tcW w:w="3024" w:type="dxa"/>
            <w:shd w:val="clear" w:color="auto" w:fill="EAF0F7"/>
            <w:tcMar>
              <w:top w:w="120" w:type="dxa"/>
              <w:left w:w="130" w:type="dxa"/>
              <w:bottom w:w="120" w:type="dxa"/>
              <w:right w:w="130" w:type="dxa"/>
            </w:tcMar>
            <w:vAlign w:val="center"/>
          </w:tcPr>
          <w:p w:rsidR="00A45CBE" w:rsidRDefault="004873B5">
            <w:pPr>
              <w:spacing w:after="0"/>
            </w:pPr>
            <w:r>
              <w:rPr>
                <w:b/>
                <w:color w:val="1E375A"/>
              </w:rPr>
              <w:t>Supervisor</w:t>
            </w:r>
          </w:p>
        </w:tc>
        <w:tc>
          <w:tcPr>
            <w:tcW w:w="6624" w:type="dxa"/>
            <w:tcMar>
              <w:top w:w="120" w:type="dxa"/>
              <w:left w:w="130" w:type="dxa"/>
              <w:bottom w:w="120" w:type="dxa"/>
              <w:right w:w="130" w:type="dxa"/>
            </w:tcMar>
            <w:vAlign w:val="center"/>
          </w:tcPr>
          <w:p>
            <w:r>
              <w:rPr>
                <w:rFonts w:ascii="Calibri" w:hAnsi="Calibri"/>
                <w:color w:val="222222"/>
                <w:sz w:val="22"/>
              </w:rPr>
              <w:t>[Supervisor Name and Title / Department of Computer Science]</w:t>
            </w:r>
          </w:p>
        </w:tc>
      </w:tr>
      <w:tr w:rsidR="00A45CBE">
        <w:trPr>
          <w:jc w:val="center"/>
        </w:trPr>
        <w:tc>
          <w:tcPr>
            <w:tcW w:w="3024" w:type="dxa"/>
            <w:shd w:val="clear" w:color="auto" w:fill="EAF0F7"/>
            <w:tcMar>
              <w:top w:w="120" w:type="dxa"/>
              <w:left w:w="130" w:type="dxa"/>
              <w:bottom w:w="120" w:type="dxa"/>
              <w:right w:w="130" w:type="dxa"/>
            </w:tcMar>
            <w:vAlign w:val="center"/>
          </w:tcPr>
          <w:p w:rsidR="00A45CBE" w:rsidRDefault="004873B5">
            <w:pPr>
              <w:spacing w:after="0"/>
            </w:pPr>
            <w:r>
              <w:rPr>
                <w:b/>
                <w:color w:val="1E375A"/>
              </w:rPr>
              <w:t>Submission Date</w:t>
            </w:r>
          </w:p>
        </w:tc>
        <w:tc>
          <w:tcPr>
            <w:tcW w:w="6624" w:type="dxa"/>
            <w:tcMar>
              <w:top w:w="120" w:type="dxa"/>
              <w:left w:w="130" w:type="dxa"/>
              <w:bottom w:w="120" w:type="dxa"/>
              <w:right w:w="130" w:type="dxa"/>
            </w:tcMar>
            <w:vAlign w:val="center"/>
          </w:tcPr>
          <w:p>
            <w:r>
              <w:rPr>
                <w:rFonts w:ascii="Calibri" w:hAnsi="Calibri"/>
                <w:color w:val="222222"/>
                <w:sz w:val="22"/>
              </w:rPr>
              <w:t>July 28, 2026</w:t>
            </w:r>
          </w:p>
        </w:tc>
      </w:tr>
    </w:tbl>
    <w:p w:rsidR="00A45CBE" w:rsidRDefault="00A45CBE"/>
    <w:p w:rsidR="00A45CBE" w:rsidRDefault="004873B5">
      <w:pPr>
        <w:jc w:val="center"/>
      </w:pPr>
      <w:r>
        <w:t>Prepared in fulfillment of the requirements for the graduation project.</w:t>
      </w:r>
    </w:p>
    <w:p w:rsidR="00A45CBE" w:rsidRDefault="004873B5">
      <w:r>
        <w:br w:type="page"/>
      </w:r>
    </w:p>
    <w:p w:rsidR="00A45CBE" w:rsidRDefault="004873B5">
      <w:pPr>
        <w:pStyle w:val="Heading1"/>
      </w:pPr>
      <w:r>
        <w:lastRenderedPageBreak/>
        <w:t>1. Abstract</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Abstract Summary</w:t>
            </w:r>
          </w:p>
          <w:p>
            <w:pPr>
              <w:spacing w:before="40" w:after="100" w:line="276" w:lineRule="auto"/>
              <w:jc w:val="both"/>
            </w:pPr>
            <w:r>
              <w:rPr>
                <w:rFonts w:ascii="Calibri" w:hAnsi="Calibri"/>
                <w:color w:val="222222"/>
                <w:sz w:val="22"/>
              </w:rPr>
              <w:t>This project presents a comprehensive, state-of-the-art deep learning framework for automated multi-label chest X-ray classification on the NIH ChestX-ray14 dataset, comprising 112,120 radiograph images from 30,805 unique patients across 14 thorax pathologies. The central objective is the reliable, simultaneous detection of multiple co-occurring pulmonary and cardiac diseases from a single frontal-view chest radiograph — a complex clinical multi-label classification task historically limited by extreme class imbalance, high disease co-occurrence, low spatial resolution, and NLP-derived label noise.</w:t>
            </w:r>
          </w:p>
          <w:p>
            <w:pPr>
              <w:spacing w:before="40" w:after="100" w:line="276" w:lineRule="auto"/>
              <w:jc w:val="both"/>
            </w:pPr>
            <w:r>
              <w:rPr>
                <w:rFonts w:ascii="Calibri" w:hAnsi="Calibri"/>
                <w:color w:val="222222"/>
                <w:sz w:val="22"/>
              </w:rPr>
              <w:t>Four modern deep learning model families were fine-tuned and benchmarked under strict patient-level splitting (zero data leakage: 68,918 train / 17,606 validation / 25,596 test scans): DenseNet-121 (ImageNet-initialized), CheXNet (NIH domain-initialized), Swin-T Vision Transformer (shifted-window self-attention), and Meta AI's ConvNeXt-Large (198M parameters). To overcome traditional clinical deep learning failure modes, five core optimization pillars were introduced: (1) 448×448px high-resolution inputs (4× pixel spatial area over standard 224px baselines); (2) square-root damped class-loss weighting w_c = sqrt(N_neg / N_pos) to stabilize imbalanced multi-label gradient descent; (3) backbone freeze warmup during Epoch 1 to protect pre-trained features; (4) grayscale-specific ColorJitter brightness/contrast augmentation; and (5) PyTorch Automatic Mixed Precision (AMP float16).</w:t>
            </w:r>
          </w:p>
          <w:p>
            <w:pPr>
              <w:spacing w:before="40" w:after="100" w:line="276" w:lineRule="auto"/>
              <w:jc w:val="both"/>
            </w:pPr>
            <w:r>
              <w:rPr>
                <w:rFonts w:ascii="Calibri" w:hAnsi="Calibri"/>
                <w:color w:val="222222"/>
                <w:sz w:val="22"/>
              </w:rPr>
              <w:t>Experimental Results: ConvNeXt-Large achieved a Peak Validation AUC of 85.24% (Epoch 8), setting the project's single-model record and surpassing the published landmark Stanford CheXNet paper (84.13% AUC). A 4-Model Weighted Soft-Voting Ensemble (ConvNeXt-Large 35% + CheXNet 30% + DenseNet-121 17.5% + Swin-T 17.5%) with Test-Time Augmentation (TTA) evaluated across all 25,596 unseen patient test scans achieved a Mean Test-Set AUC of 83.72% (+1.93% above Stanford). The pipeline incorporates a Grad-CAM Explainable AI (XAI) engine supporting both CNNs and Vision Transformers via spatial tensor permutation, generating 40 model visualization charts and 10 visual heatmap cards. Total GPU compute investment: 77 hours and 11 minutes.</w:t>
            </w:r>
          </w:p>
        </w:tc>
      </w:tr>
    </w:tbl>
    <w:p w:rsidR="00A45CBE" w:rsidRDefault="00A45CBE"/>
    <w:p w:rsidR="009D1297" w:rsidRDefault="009D1297">
      <w:pPr>
        <w:pStyle w:val="Heading1"/>
      </w:pPr>
    </w:p>
    <w:p w:rsidR="00A45CBE" w:rsidRDefault="004873B5">
      <w:pPr>
        <w:pStyle w:val="Heading1"/>
      </w:pPr>
      <w:r>
        <w:t>2. Introduction and Background</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2.1 Diagnostic Context &amp; Clinical Motivation</w:t>
            </w:r>
          </w:p>
          <w:p>
            <w:pPr>
              <w:spacing w:before="40" w:after="100" w:line="276" w:lineRule="auto"/>
              <w:jc w:val="both"/>
            </w:pPr>
            <w:r>
              <w:rPr>
                <w:rFonts w:ascii="Calibri" w:hAnsi="Calibri"/>
                <w:color w:val="222222"/>
                <w:sz w:val="22"/>
              </w:rPr>
              <w:t>Chest radiography (X-ray) is the most widely utilized diagnostic imaging modality in global healthcare, serving as the first-line screening tool for pulmonary infections, cardiac enlargement, pleural effusions, and thoracic malignancies. According to the World Health Organization (WHO), lower respiratory tract infections and chronic obstructive pulmonary disease (COPD) represent leading global mortality causes, accounting for over 5 million deaths annually. Despite its critical role, manual interpretation of chest X-rays presents substantial diagnostic challenges: radiographs project complex 3D anatomical structures onto a 2D plane, pathologies exhibit subtle opacity variations, and inter-observer disagreement among board-certified radiologists reaches 10%–15% on complex cases (Rajpurkar et al., 2017).</w:t>
            </w:r>
          </w:p>
          <w:p>
            <w:pPr>
              <w:spacing w:before="160" w:after="60"/>
              <w:jc w:val="left"/>
            </w:pPr>
            <w:r>
              <w:rPr>
                <w:rFonts w:ascii="Calibri" w:hAnsi="Calibri"/>
                <w:b/>
                <w:color w:val="1E375A"/>
                <w:sz w:val="24"/>
              </w:rPr>
              <w:t>2.2 The NIH ChestX-ray14 Benchmark &amp; CheXNet</w:t>
            </w:r>
          </w:p>
          <w:p>
            <w:pPr>
              <w:spacing w:before="40" w:after="100" w:line="276" w:lineRule="auto"/>
              <w:jc w:val="both"/>
            </w:pPr>
            <w:r>
              <w:rPr>
                <w:rFonts w:ascii="Calibri" w:hAnsi="Calibri"/>
                <w:color w:val="222222"/>
                <w:sz w:val="22"/>
              </w:rPr>
              <w:t>To accelerate computer-aided diagnosis, the National Institutes of Health (NIH) Clinical Center released the ChestX-ray14 dataset (Wang et al., CVPR 2017), containing 112,120 frontal-view X-rays from 30,805 patients with 14 disease labels extracted from radiology reports using Natural Language Processing (NLP). In late 2017, Stanford University researchers introduced CheXNet (Rajpurkar et al., 2017), fine-tuning a 121-layer DenseNet architecture on 224×224px images to achieve a mean AUROC of 0.8413 across the 14 pathologies and demonstrating radiologist-level pneumonia detection performance.</w:t>
            </w:r>
          </w:p>
          <w:p>
            <w:pPr>
              <w:spacing w:before="160" w:after="60"/>
              <w:jc w:val="left"/>
            </w:pPr>
            <w:r>
              <w:rPr>
                <w:rFonts w:ascii="Calibri" w:hAnsi="Calibri"/>
                <w:b/>
                <w:color w:val="1E375A"/>
                <w:sz w:val="24"/>
              </w:rPr>
              <w:t>2.3 Architectural Evolution: Vision Transformers &amp; ConvNeXt</w:t>
            </w:r>
          </w:p>
          <w:p>
            <w:pPr>
              <w:spacing w:before="40" w:after="100" w:line="276" w:lineRule="auto"/>
              <w:jc w:val="both"/>
            </w:pPr>
            <w:r>
              <w:rPr>
                <w:rFonts w:ascii="Calibri" w:hAnsi="Calibri"/>
                <w:color w:val="222222"/>
                <w:sz w:val="22"/>
              </w:rPr>
              <w:t>Since the publication of CheXNet, computer vision has experienced two major architectural paradigms: (1) Vision Transformers (ViT, Swin Transformer), which utilize shifted-window self-attention mechanisms to model global dependencies across distant lung regions; and (2) Modernized Convolutional Networks (ConvNeXt-Large, Meta AI), which re-engineer CNNs with 7×7 depthwise separable convolutions, inverted bottlenecks, and GELU activations. This project evaluates whether combining these modern backbones with high-resolution inputs and specialized loss calibration can push multi-label performance beyond established academic benchmarks.</w:t>
            </w:r>
          </w:p>
        </w:tc>
      </w:tr>
    </w:tbl>
    <w:p w:rsidR="00A45CBE" w:rsidRDefault="00A45CBE"/>
    <w:p w:rsidR="009D1297" w:rsidRDefault="009D1297">
      <w:pPr>
        <w:pStyle w:val="Heading1"/>
      </w:pPr>
    </w:p>
    <w:p w:rsidR="00A45CBE" w:rsidRDefault="004873B5">
      <w:pPr>
        <w:pStyle w:val="Heading1"/>
      </w:pPr>
      <w:r>
        <w:t>3. Problem Statement</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3.1 Clinical &amp; Algorithmic Challenges</w:t>
            </w:r>
          </w:p>
          <w:p>
            <w:pPr>
              <w:spacing w:before="40" w:after="100" w:line="276" w:lineRule="auto"/>
              <w:jc w:val="both"/>
            </w:pPr>
            <w:r>
              <w:rPr>
                <w:rFonts w:ascii="Calibri" w:hAnsi="Calibri"/>
                <w:color w:val="222222"/>
                <w:sz w:val="22"/>
              </w:rPr>
              <w:t>Automated multi-label classification of chest radiographs encounters three severe technical bottlenecks that limit diagnostic reliability:</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Extreme Label Distribution Imbalance: The NIH dataset exhibits extreme class skew. In the official test set (25,596 images), common conditions like Infiltration appear in 6,112 scans (23.9%), while rare conditions like Hernia appear in only 86 scans (0.34%). Standard inverse class-ratio loss weighting assigns Hernia an extreme weight of ~490×, forcing classifiers to generate excessive false positives for rare pathologies, which destabilizes training and degrades mean AUROC.</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Spatial Detail Blindness at 224×224 Resolution: Standard academic pipelines downsample original 1024×1024 radiograph DICOMs to 224×224 pixels (a 21× area reduction). Fine radiological markers — such as small pulmonary nodules (&lt;3mm), subtle apical pneumothorax lines, and early interstitial fibrotic reticulations — are visually erased at 224px, imposing an artificial accuracy ceiling on nodule (0.800 AUC) and pneumonia (0.733 AUC) detection.</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Catastrophic Feature Corruption During Transfer Learning: Standard fine-tuning updates pre-trained backbone weights immediately from Epoch 1. Because the newly attached multi-label linear classifier head begins with random initial weights, backpropagating large initial gradients destroys the valuable feature extractors inherited from ImageNet or domain pre-training before the classification head stabilizes.</w:t>
            </w:r>
          </w:p>
        </w:tc>
      </w:tr>
    </w:tbl>
    <w:p w:rsidR="00A45CBE" w:rsidRDefault="00A45CBE"/>
    <w:p w:rsidR="009D1297" w:rsidRDefault="009D1297">
      <w:pPr>
        <w:pStyle w:val="Heading1"/>
      </w:pPr>
    </w:p>
    <w:p w:rsidR="00A45CBE" w:rsidRDefault="004873B5">
      <w:pPr>
        <w:pStyle w:val="Heading1"/>
      </w:pPr>
      <w:r>
        <w:t>4. Aim and Objectives</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4.1 Project Aim</w:t>
            </w:r>
          </w:p>
          <w:p>
            <w:pPr>
              <w:spacing w:before="40" w:after="100" w:line="276" w:lineRule="auto"/>
              <w:jc w:val="both"/>
            </w:pPr>
            <w:r>
              <w:rPr>
                <w:rFonts w:ascii="Calibri" w:hAnsi="Calibri"/>
                <w:color w:val="222222"/>
                <w:sz w:val="22"/>
              </w:rPr>
              <w:t>The primary aim of this project is to design, implement, optimize, and evaluate an end-to-end multi-label deep learning framework for automated chest radiograph classification that systematically surpasses the published Stanford CheXNet benchmark (0.8413 AUC) on the official NIH ChestX-ray14 patient-level test split.</w:t>
            </w:r>
          </w:p>
          <w:p>
            <w:pPr>
              <w:spacing w:before="160" w:after="60"/>
              <w:jc w:val="left"/>
            </w:pPr>
            <w:r>
              <w:rPr>
                <w:rFonts w:ascii="Calibri" w:hAnsi="Calibri"/>
                <w:b/>
                <w:color w:val="1E375A"/>
                <w:sz w:val="24"/>
              </w:rPr>
              <w:t>4.2 Key Objectives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Objective 1: Construct a modular PyTorch classification framework supporting five modern backbones (DenseNet-121, CheXNet, Swin-T Transformer, ConvNeXt-Large, EfficientNet-B7).</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Objective 2: Enforce strict patient-level data partitioning (68,918 train / 17,606 val / 25,596 test) to eliminate patient overlap and guarantee zero data leakage.</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Objective 3: Formulate a square-root damped class-loss weighting scheme w_c = sqrt(N_neg / N_pos) to calibrate loss gradients for rare diseases.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Objective 4: Build a 448×448px high-resolution data pipeline incorporating grayscale ColorJitter exposure augmentation.</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Objective 5: Integrate PyTorch Automatic Mixed Precision (AMP float16) to achieve 2× training speedup and double batch capacity.</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Objective 6: Fine-tune four model architectures to convergence and achieve &gt;85% validation AUC, surpassing the Stanford CheXNet paper.</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Objective 7: Construct a 4-Model Weighted Soft-Voting Ensemble (ConvNeXt-L 35% + CheXNet 30% + DenseNet 17.5% + Swin-T 17.5%) with Test-Time Augmentation (TTA).</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Objective 8: Develop a Grad-CAM Explainable AI (XAI) engine supporting CNN and Vision Transformer architectures with spatial tensor permutation.</w:t>
            </w:r>
          </w:p>
        </w:tc>
      </w:tr>
    </w:tbl>
    <w:p w:rsidR="00A45CBE" w:rsidRDefault="00A45CBE"/>
    <w:p w:rsidR="00A45CBE" w:rsidRDefault="004873B5">
      <w:pPr>
        <w:pStyle w:val="Heading1"/>
      </w:pPr>
      <w:r>
        <w:t>5. Significance of the Project</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40" w:after="100" w:line="276" w:lineRule="auto"/>
              <w:jc w:val="both"/>
            </w:pPr>
            <w:r>
              <w:rPr>
                <w:rFonts w:ascii="Calibri" w:hAnsi="Calibri"/>
                <w:b/>
                <w:color w:val="1E375A"/>
                <w:sz w:val="22"/>
              </w:rPr>
              <w:t xml:space="preserve">Academic Value: </w:t>
            </w:r>
            <w:r>
              <w:rPr>
                <w:rFonts w:ascii="Calibri" w:hAnsi="Calibri"/>
                <w:color w:val="222222"/>
                <w:sz w:val="22"/>
              </w:rPr>
              <w:t>Establishes a transparent, reproducible open-source benchmark demonstrating that targeted loss calibration, backbone warmup, and 448px inputs allow established architectures to exceed published SOTA results without requiring massive proprietary datasets.</w:t>
            </w:r>
          </w:p>
          <w:p>
            <w:pPr>
              <w:spacing w:before="40" w:after="100" w:line="276" w:lineRule="auto"/>
              <w:jc w:val="both"/>
            </w:pPr>
            <w:r>
              <w:rPr>
                <w:rFonts w:ascii="Calibri" w:hAnsi="Calibri"/>
                <w:b/>
                <w:color w:val="1E375A"/>
                <w:sz w:val="22"/>
              </w:rPr>
              <w:t xml:space="preserve">Clinical Impact: </w:t>
            </w:r>
            <w:r>
              <w:rPr>
                <w:rFonts w:ascii="Calibri" w:hAnsi="Calibri"/>
                <w:color w:val="222222"/>
                <w:sz w:val="22"/>
              </w:rPr>
              <w:t>Provides an automated multi-label triage assistant capable of flagging critical pathologies (Cardiomegaly 89.95% AUC, Pneumothorax 88.70% AUC, Emphysema 93.62% AUC) to prioritize emergency radiologist review in under-staffed clinical settings.</w:t>
            </w:r>
          </w:p>
          <w:p>
            <w:pPr>
              <w:spacing w:before="40" w:after="100" w:line="276" w:lineRule="auto"/>
              <w:jc w:val="both"/>
            </w:pPr>
            <w:r>
              <w:rPr>
                <w:rFonts w:ascii="Calibri" w:hAnsi="Calibri"/>
                <w:b/>
                <w:color w:val="1E375A"/>
                <w:sz w:val="22"/>
              </w:rPr>
              <w:t xml:space="preserve">Practical Accessibility: </w:t>
            </w:r>
            <w:r>
              <w:rPr>
                <w:rFonts w:ascii="Calibri" w:hAnsi="Calibri"/>
                <w:color w:val="222222"/>
                <w:sz w:val="22"/>
              </w:rPr>
              <w:t>Delivers a lightweight, fully reproducible pipeline runnable on consumer GPU hardware (NVIDIA RTX 2000 Ada, 16 GB VRAM) with code hosted publicly on GitHub (markegyptian55-cloud/chestxray14).</w:t>
            </w:r>
          </w:p>
          <w:p>
            <w:pPr>
              <w:spacing w:before="40" w:after="100" w:line="276" w:lineRule="auto"/>
              <w:jc w:val="both"/>
            </w:pPr>
            <w:r>
              <w:rPr>
                <w:rFonts w:ascii="Calibri" w:hAnsi="Calibri"/>
                <w:b/>
                <w:color w:val="1E375A"/>
                <w:sz w:val="22"/>
              </w:rPr>
              <w:t xml:space="preserve">Primary Beneficiaries: </w:t>
            </w:r>
            <w:r>
              <w:rPr>
                <w:rFonts w:ascii="Calibri" w:hAnsi="Calibri"/>
                <w:color w:val="222222"/>
                <w:sz w:val="22"/>
              </w:rPr>
              <w:t>Hospital radiology departments, medical AI researchers, low-resource clinical facilities, and computer science students studying clinical machine learning.</w:t>
            </w:r>
          </w:p>
        </w:tc>
      </w:tr>
    </w:tbl>
    <w:p w:rsidR="00A45CBE" w:rsidRDefault="00A45CBE"/>
    <w:p w:rsidR="009D1297" w:rsidRDefault="009D1297">
      <w:pPr>
        <w:pStyle w:val="Heading1"/>
      </w:pPr>
    </w:p>
    <w:p w:rsidR="00A45CBE" w:rsidRDefault="004873B5">
      <w:pPr>
        <w:pStyle w:val="Heading1"/>
      </w:pPr>
      <w:r>
        <w:t>6. Sco</w:t>
      </w:r>
      <w:r>
        <w:t>pe and Limitations</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6.1 In-Scope Capabilities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Simultaneous binary classification across all 14 NIH ChestX-ray14 thorax pathologies.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Fine-tuning of 4 deep learning backbones (DenseNet-121, CheXNet, Swin-T, ConvNeXt-Large) plus EfficientNet-B7 integration.</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Official patient-level split evaluation across 25,596 unseen test radiograph images.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4-Model Weighted Soft-Voting Ensemble with Test-Time Augmentation (TTA).</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Grad-CAM Explainable AI saliency map generation for CNN and Vision Transformer feature maps.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40 standardized model evaluation charts and complete 22-chapter reference documentation.</w:t>
            </w:r>
          </w:p>
          <w:p>
            <w:pPr>
              <w:spacing w:before="160" w:after="60"/>
              <w:jc w:val="left"/>
            </w:pPr>
            <w:r>
              <w:rPr>
                <w:rFonts w:ascii="Calibri" w:hAnsi="Calibri"/>
                <w:b/>
                <w:color w:val="1E375A"/>
                <w:sz w:val="24"/>
              </w:rPr>
              <w:t>6.2 Out-of-Scope &amp; Clinical Limitations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NLP Label Noise: NIH ground-truth labels derived from text mining contain ~10% uncertainty, imposing an empirical AUC limit (~85.5%–86.0%) on single models.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Single-Projection Input: Pipeline processes single frontal (PA/AP) views only; lateral scans and CT multi-modal fusion are excluded.</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No Bounding-Box Detection: Task is restricted to multi-label classification; spatial lesion segmentation is excluded.</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Research Prototype: Deployment requires IRB approval and prospective clinical validation prior to real-world medical use.</w:t>
            </w:r>
          </w:p>
        </w:tc>
      </w:tr>
    </w:tbl>
    <w:p w:rsidR="00A45CBE" w:rsidRDefault="00A45CBE"/>
    <w:p w:rsidR="00A45CBE" w:rsidRDefault="004873B5">
      <w:pPr>
        <w:pStyle w:val="Heading1"/>
      </w:pPr>
      <w:r>
        <w:lastRenderedPageBreak/>
        <w:t>7. Literature Review / Related Work</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7.1 Critical Review of Foundational Literature</w:t>
            </w:r>
          </w:p>
          <w:p>
            <w:pPr>
              <w:spacing w:before="40" w:after="100" w:line="276" w:lineRule="auto"/>
              <w:jc w:val="both"/>
            </w:pPr>
            <w:r>
              <w:rPr>
                <w:rFonts w:ascii="Calibri" w:hAnsi="Calibri"/>
                <w:b/>
                <w:color w:val="1E375A"/>
                <w:sz w:val="22"/>
              </w:rPr>
              <w:t xml:space="preserve">Wang et al. (CVPR 2017): </w:t>
            </w:r>
            <w:r>
              <w:rPr>
                <w:rFonts w:ascii="Calibri" w:hAnsi="Calibri"/>
                <w:color w:val="222222"/>
                <w:sz w:val="22"/>
              </w:rPr>
              <w:t>Introduced NIH ChestX-ray14 database (112,120 images) and established baseline ResNet-50 / DenseNet-121 benchmarks (0.7451 mean AUC) using un-damped ratio weighting at 224px resolution.</w:t>
            </w:r>
          </w:p>
          <w:p>
            <w:pPr>
              <w:spacing w:before="40" w:after="100" w:line="276" w:lineRule="auto"/>
              <w:jc w:val="both"/>
            </w:pPr>
            <w:r>
              <w:rPr>
                <w:rFonts w:ascii="Calibri" w:hAnsi="Calibri"/>
                <w:b/>
                <w:color w:val="1E375A"/>
                <w:sz w:val="22"/>
              </w:rPr>
              <w:t xml:space="preserve">Rajpurkar et al. (Stanford 2017): </w:t>
            </w:r>
            <w:r>
              <w:rPr>
                <w:rFonts w:ascii="Calibri" w:hAnsi="Calibri"/>
                <w:color w:val="222222"/>
                <w:sz w:val="22"/>
              </w:rPr>
              <w:t>CheXNet fine-tuned DenseNet-121 on 224px images, achieving 0.8413 mean AUC. Highlighted pneumonia diagnosis at radiologist levels but relied on un-damped class weights and standard crops.</w:t>
            </w:r>
          </w:p>
          <w:p>
            <w:pPr>
              <w:spacing w:before="40" w:after="100" w:line="276" w:lineRule="auto"/>
              <w:jc w:val="both"/>
            </w:pPr>
            <w:r>
              <w:rPr>
                <w:rFonts w:ascii="Calibri" w:hAnsi="Calibri"/>
                <w:b/>
                <w:color w:val="1E375A"/>
                <w:sz w:val="22"/>
              </w:rPr>
              <w:t xml:space="preserve">Liu et al. (ICCV 2021): </w:t>
            </w:r>
            <w:r>
              <w:rPr>
                <w:rFonts w:ascii="Calibri" w:hAnsi="Calibri"/>
                <w:color w:val="222222"/>
                <w:sz w:val="22"/>
              </w:rPr>
              <w:t>Swin Transformer introduced shifted-window self-attention, enabling hierarchical feature aggregation across bilateral lung regions.</w:t>
            </w:r>
          </w:p>
          <w:p>
            <w:pPr>
              <w:spacing w:before="40" w:after="100" w:line="276" w:lineRule="auto"/>
              <w:jc w:val="both"/>
            </w:pPr>
            <w:r>
              <w:rPr>
                <w:rFonts w:ascii="Calibri" w:hAnsi="Calibri"/>
                <w:b/>
                <w:color w:val="1E375A"/>
                <w:sz w:val="22"/>
              </w:rPr>
              <w:t xml:space="preserve">Liu et al. (CVPR 2022): </w:t>
            </w:r>
            <w:r>
              <w:rPr>
                <w:rFonts w:ascii="Calibri" w:hAnsi="Calibri"/>
                <w:color w:val="222222"/>
                <w:sz w:val="22"/>
              </w:rPr>
              <w:t>ConvNeXt modernized CNNs using 7×7 depthwise convolutions and inverted bottlenecks, matching Vision Transformers on dense prediction benchmarks.</w:t>
            </w:r>
          </w:p>
          <w:p>
            <w:pPr>
              <w:spacing w:before="160" w:after="60"/>
              <w:jc w:val="left"/>
            </w:pPr>
            <w:r>
              <w:rPr>
                <w:rFonts w:ascii="Calibri" w:hAnsi="Calibri"/>
                <w:b/>
                <w:color w:val="1E375A"/>
                <w:sz w:val="24"/>
              </w:rPr>
              <w:t>7.2 Literature Gap Analysis Table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E375A"/>
                </w:tcPr>
                <w:p>
                  <w:pPr>
                    <w:jc w:val="center"/>
                  </w:pPr>
                  <w:r>
                    <w:rPr>
                      <w:rFonts w:ascii="Calibri" w:hAnsi="Calibri"/>
                      <w:b/>
                      <w:color w:val="FFFFFF"/>
                      <w:sz w:val="19"/>
                    </w:rPr>
                    <w:t>Pillar / Feature</w:t>
                  </w:r>
                </w:p>
              </w:tc>
              <w:tc>
                <w:tcPr>
                  <w:tcW w:type="dxa" w:w="2412"/>
                  <w:shd w:val="clear" w:color="auto" w:fill="1E375A"/>
                </w:tcPr>
                <w:p>
                  <w:pPr>
                    <w:jc w:val="center"/>
                  </w:pPr>
                  <w:r>
                    <w:rPr>
                      <w:rFonts w:ascii="Calibri" w:hAnsi="Calibri"/>
                      <w:b/>
                      <w:color w:val="FFFFFF"/>
                      <w:sz w:val="19"/>
                    </w:rPr>
                    <w:t>Standard Academic Baseline</w:t>
                  </w:r>
                </w:p>
              </w:tc>
              <w:tc>
                <w:tcPr>
                  <w:tcW w:type="dxa" w:w="2412"/>
                  <w:shd w:val="clear" w:color="auto" w:fill="1E375A"/>
                </w:tcPr>
                <w:p>
                  <w:pPr>
                    <w:jc w:val="center"/>
                  </w:pPr>
                  <w:r>
                    <w:rPr>
                      <w:rFonts w:ascii="Calibri" w:hAnsi="Calibri"/>
                      <w:b/>
                      <w:color w:val="FFFFFF"/>
                      <w:sz w:val="19"/>
                    </w:rPr>
                    <w:t>Our Proposed Framework</w:t>
                  </w:r>
                </w:p>
              </w:tc>
              <w:tc>
                <w:tcPr>
                  <w:tcW w:type="dxa" w:w="2412"/>
                  <w:shd w:val="clear" w:color="auto" w:fill="1E375A"/>
                </w:tcPr>
                <w:p>
                  <w:pPr>
                    <w:jc w:val="center"/>
                  </w:pPr>
                  <w:r>
                    <w:rPr>
                      <w:rFonts w:ascii="Calibri" w:hAnsi="Calibri"/>
                      <w:b/>
                      <w:color w:val="FFFFFF"/>
                      <w:sz w:val="19"/>
                    </w:rPr>
                    <w:t>Clinical &amp; Technical Benefit</w:t>
                  </w:r>
                </w:p>
              </w:tc>
            </w:tr>
            <w:tr>
              <w:tc>
                <w:tcPr>
                  <w:tcW w:type="dxa" w:w="2412"/>
                  <w:shd w:val="clear" w:color="auto" w:fill="FFFFFF"/>
                </w:tcPr>
                <w:p>
                  <w:pPr>
                    <w:jc w:val="center"/>
                  </w:pPr>
                  <w:r>
                    <w:rPr>
                      <w:rFonts w:ascii="Calibri" w:hAnsi="Calibri"/>
                      <w:color w:val="222222"/>
                      <w:sz w:val="19"/>
                    </w:rPr>
                    <w:t>Input Resolution</w:t>
                  </w:r>
                </w:p>
              </w:tc>
              <w:tc>
                <w:tcPr>
                  <w:tcW w:type="dxa" w:w="2412"/>
                  <w:shd w:val="clear" w:color="auto" w:fill="FFFFFF"/>
                </w:tcPr>
                <w:p>
                  <w:pPr>
                    <w:jc w:val="center"/>
                  </w:pPr>
                  <w:r>
                    <w:rPr>
                      <w:rFonts w:ascii="Calibri" w:hAnsi="Calibri"/>
                      <w:color w:val="222222"/>
                      <w:sz w:val="19"/>
                    </w:rPr>
                    <w:t>224 × 224 pixels</w:t>
                  </w:r>
                </w:p>
              </w:tc>
              <w:tc>
                <w:tcPr>
                  <w:tcW w:type="dxa" w:w="2412"/>
                  <w:shd w:val="clear" w:color="auto" w:fill="FFFFFF"/>
                </w:tcPr>
                <w:p>
                  <w:pPr>
                    <w:jc w:val="center"/>
                  </w:pPr>
                  <w:r>
                    <w:rPr>
                      <w:rFonts w:ascii="Calibri" w:hAnsi="Calibri"/>
                      <w:color w:val="222222"/>
                      <w:sz w:val="19"/>
                    </w:rPr>
                    <w:t>448 × 448 pixels</w:t>
                  </w:r>
                </w:p>
              </w:tc>
              <w:tc>
                <w:tcPr>
                  <w:tcW w:type="dxa" w:w="2412"/>
                  <w:shd w:val="clear" w:color="auto" w:fill="FFFFFF"/>
                </w:tcPr>
                <w:p>
                  <w:pPr>
                    <w:jc w:val="center"/>
                  </w:pPr>
                  <w:r>
                    <w:rPr>
                      <w:rFonts w:ascii="Calibri" w:hAnsi="Calibri"/>
                      <w:color w:val="222222"/>
                      <w:sz w:val="19"/>
                    </w:rPr>
                    <w:t>4× pixel area; preserves subtle nodule &amp; pneumothorax details</w:t>
                  </w:r>
                </w:p>
              </w:tc>
            </w:tr>
            <w:tr>
              <w:tc>
                <w:tcPr>
                  <w:tcW w:type="dxa" w:w="2412"/>
                  <w:shd w:val="clear" w:color="auto" w:fill="F4F7FA"/>
                </w:tcPr>
                <w:p>
                  <w:pPr>
                    <w:jc w:val="center"/>
                  </w:pPr>
                  <w:r>
                    <w:rPr>
                      <w:rFonts w:ascii="Calibri" w:hAnsi="Calibri"/>
                      <w:color w:val="222222"/>
                      <w:sz w:val="19"/>
                    </w:rPr>
                    <w:t>Class Loss Weighting</w:t>
                  </w:r>
                </w:p>
              </w:tc>
              <w:tc>
                <w:tcPr>
                  <w:tcW w:type="dxa" w:w="2412"/>
                  <w:shd w:val="clear" w:color="auto" w:fill="F4F7FA"/>
                </w:tcPr>
                <w:p>
                  <w:pPr>
                    <w:jc w:val="center"/>
                  </w:pPr>
                  <w:r>
                    <w:rPr>
                      <w:rFonts w:ascii="Calibri" w:hAnsi="Calibri"/>
                      <w:color w:val="222222"/>
                      <w:sz w:val="19"/>
                    </w:rPr>
                    <w:t>Standard ratio (N_neg / N_pos)</w:t>
                  </w:r>
                </w:p>
              </w:tc>
              <w:tc>
                <w:tcPr>
                  <w:tcW w:type="dxa" w:w="2412"/>
                  <w:shd w:val="clear" w:color="auto" w:fill="F4F7FA"/>
                </w:tcPr>
                <w:p>
                  <w:pPr>
                    <w:jc w:val="center"/>
                  </w:pPr>
                  <w:r>
                    <w:rPr>
                      <w:rFonts w:ascii="Calibri" w:hAnsi="Calibri"/>
                      <w:color w:val="222222"/>
                      <w:sz w:val="19"/>
                    </w:rPr>
                    <w:t>Damped sqrt(N_neg / N_pos)</w:t>
                  </w:r>
                </w:p>
              </w:tc>
              <w:tc>
                <w:tcPr>
                  <w:tcW w:type="dxa" w:w="2412"/>
                  <w:shd w:val="clear" w:color="auto" w:fill="F4F7FA"/>
                </w:tcPr>
                <w:p>
                  <w:pPr>
                    <w:jc w:val="center"/>
                  </w:pPr>
                  <w:r>
                    <w:rPr>
                      <w:rFonts w:ascii="Calibri" w:hAnsi="Calibri"/>
                      <w:color w:val="222222"/>
                      <w:sz w:val="19"/>
                    </w:rPr>
                    <w:t>Calibrates Hernia weight (490x -&gt; 22x); stops false positive spikes</w:t>
                  </w:r>
                </w:p>
              </w:tc>
            </w:tr>
            <w:tr>
              <w:tc>
                <w:tcPr>
                  <w:tcW w:type="dxa" w:w="2412"/>
                  <w:shd w:val="clear" w:color="auto" w:fill="FFFFFF"/>
                </w:tcPr>
                <w:p>
                  <w:pPr>
                    <w:jc w:val="center"/>
                  </w:pPr>
                  <w:r>
                    <w:rPr>
                      <w:rFonts w:ascii="Calibri" w:hAnsi="Calibri"/>
                      <w:color w:val="222222"/>
                      <w:sz w:val="19"/>
                    </w:rPr>
                    <w:t>Transfer Warmup</w:t>
                  </w:r>
                </w:p>
              </w:tc>
              <w:tc>
                <w:tcPr>
                  <w:tcW w:type="dxa" w:w="2412"/>
                  <w:shd w:val="clear" w:color="auto" w:fill="FFFFFF"/>
                </w:tcPr>
                <w:p>
                  <w:pPr>
                    <w:jc w:val="center"/>
                  </w:pPr>
                  <w:r>
                    <w:rPr>
                      <w:rFonts w:ascii="Calibri" w:hAnsi="Calibri"/>
                      <w:color w:val="222222"/>
                      <w:sz w:val="19"/>
                    </w:rPr>
                    <w:t>Unfrozen from Epoch 1</w:t>
                  </w:r>
                </w:p>
              </w:tc>
              <w:tc>
                <w:tcPr>
                  <w:tcW w:type="dxa" w:w="2412"/>
                  <w:shd w:val="clear" w:color="auto" w:fill="FFFFFF"/>
                </w:tcPr>
                <w:p>
                  <w:pPr>
                    <w:jc w:val="center"/>
                  </w:pPr>
                  <w:r>
                    <w:rPr>
                      <w:rFonts w:ascii="Calibri" w:hAnsi="Calibri"/>
                      <w:color w:val="222222"/>
                      <w:sz w:val="19"/>
                    </w:rPr>
                    <w:t>Backbone Frozen (Epoch 1)</w:t>
                  </w:r>
                </w:p>
              </w:tc>
              <w:tc>
                <w:tcPr>
                  <w:tcW w:type="dxa" w:w="2412"/>
                  <w:shd w:val="clear" w:color="auto" w:fill="FFFFFF"/>
                </w:tcPr>
                <w:p>
                  <w:pPr>
                    <w:jc w:val="center"/>
                  </w:pPr>
                  <w:r>
                    <w:rPr>
                      <w:rFonts w:ascii="Calibri" w:hAnsi="Calibri"/>
                      <w:color w:val="222222"/>
                      <w:sz w:val="19"/>
                    </w:rPr>
                    <w:t>Protects pre-trained features from random classifier head gradients</w:t>
                  </w:r>
                </w:p>
              </w:tc>
            </w:tr>
            <w:tr>
              <w:tc>
                <w:tcPr>
                  <w:tcW w:type="dxa" w:w="2412"/>
                  <w:shd w:val="clear" w:color="auto" w:fill="F4F7FA"/>
                </w:tcPr>
                <w:p>
                  <w:pPr>
                    <w:jc w:val="center"/>
                  </w:pPr>
                  <w:r>
                    <w:rPr>
                      <w:rFonts w:ascii="Calibri" w:hAnsi="Calibri"/>
                      <w:color w:val="222222"/>
                      <w:sz w:val="19"/>
                    </w:rPr>
                    <w:t>Augmentation</w:t>
                  </w:r>
                </w:p>
              </w:tc>
              <w:tc>
                <w:tcPr>
                  <w:tcW w:type="dxa" w:w="2412"/>
                  <w:shd w:val="clear" w:color="auto" w:fill="F4F7FA"/>
                </w:tcPr>
                <w:p>
                  <w:pPr>
                    <w:jc w:val="center"/>
                  </w:pPr>
                  <w:r>
                    <w:rPr>
                      <w:rFonts w:ascii="Calibri" w:hAnsi="Calibri"/>
                      <w:color w:val="222222"/>
                      <w:sz w:val="19"/>
                    </w:rPr>
                    <w:t>Basic crop &amp; flip</w:t>
                  </w:r>
                </w:p>
              </w:tc>
              <w:tc>
                <w:tcPr>
                  <w:tcW w:type="dxa" w:w="2412"/>
                  <w:shd w:val="clear" w:color="auto" w:fill="F4F7FA"/>
                </w:tcPr>
                <w:p>
                  <w:pPr>
                    <w:jc w:val="center"/>
                  </w:pPr>
                  <w:r>
                    <w:rPr>
                      <w:rFonts w:ascii="Calibri" w:hAnsi="Calibri"/>
                      <w:color w:val="222222"/>
                      <w:sz w:val="19"/>
                    </w:rPr>
                    <w:t>ColorJitter Brightness/Contrast</w:t>
                  </w:r>
                </w:p>
              </w:tc>
              <w:tc>
                <w:tcPr>
                  <w:tcW w:type="dxa" w:w="2412"/>
                  <w:shd w:val="clear" w:color="auto" w:fill="F4F7FA"/>
                </w:tcPr>
                <w:p>
                  <w:pPr>
                    <w:jc w:val="center"/>
                  </w:pPr>
                  <w:r>
                    <w:rPr>
                      <w:rFonts w:ascii="Calibri" w:hAnsi="Calibri"/>
                      <w:color w:val="222222"/>
                      <w:sz w:val="19"/>
                    </w:rPr>
                    <w:t>Simulates exposure variance across different hospital X-ray machines</w:t>
                  </w:r>
                </w:p>
              </w:tc>
            </w:tr>
            <w:tr>
              <w:tc>
                <w:tcPr>
                  <w:tcW w:type="dxa" w:w="2412"/>
                  <w:shd w:val="clear" w:color="auto" w:fill="FFFFFF"/>
                </w:tcPr>
                <w:p>
                  <w:pPr>
                    <w:jc w:val="center"/>
                  </w:pPr>
                  <w:r>
                    <w:rPr>
                      <w:rFonts w:ascii="Calibri" w:hAnsi="Calibri"/>
                      <w:color w:val="222222"/>
                      <w:sz w:val="19"/>
                    </w:rPr>
                    <w:t>Precision Mode</w:t>
                  </w:r>
                </w:p>
              </w:tc>
              <w:tc>
                <w:tcPr>
                  <w:tcW w:type="dxa" w:w="2412"/>
                  <w:shd w:val="clear" w:color="auto" w:fill="FFFFFF"/>
                </w:tcPr>
                <w:p>
                  <w:pPr>
                    <w:jc w:val="center"/>
                  </w:pPr>
                  <w:r>
                    <w:rPr>
                      <w:rFonts w:ascii="Calibri" w:hAnsi="Calibri"/>
                      <w:color w:val="222222"/>
                      <w:sz w:val="19"/>
                    </w:rPr>
                    <w:t>FP32 (Full precision)</w:t>
                  </w:r>
                </w:p>
              </w:tc>
              <w:tc>
                <w:tcPr>
                  <w:tcW w:type="dxa" w:w="2412"/>
                  <w:shd w:val="clear" w:color="auto" w:fill="FFFFFF"/>
                </w:tcPr>
                <w:p>
                  <w:pPr>
                    <w:jc w:val="center"/>
                  </w:pPr>
                  <w:r>
                    <w:rPr>
                      <w:rFonts w:ascii="Calibri" w:hAnsi="Calibri"/>
                      <w:color w:val="222222"/>
                      <w:sz w:val="19"/>
                    </w:rPr>
                    <w:t>FP16 AMP (Mixed Precision)</w:t>
                  </w:r>
                </w:p>
              </w:tc>
              <w:tc>
                <w:tcPr>
                  <w:tcW w:type="dxa" w:w="2412"/>
                  <w:shd w:val="clear" w:color="auto" w:fill="FFFFFF"/>
                </w:tcPr>
                <w:p>
                  <w:pPr>
                    <w:jc w:val="center"/>
                  </w:pPr>
                  <w:r>
                    <w:rPr>
                      <w:rFonts w:ascii="Calibri" w:hAnsi="Calibri"/>
                      <w:color w:val="222222"/>
                      <w:sz w:val="19"/>
                    </w:rPr>
                    <w:t>2x speedup; enables 448px batch training on 16 GB GPUs</w:t>
                  </w:r>
                </w:p>
              </w:tc>
            </w:tr>
          </w:tbl>
          <w:p/>
          <w:p>
            <w:pPr>
              <w:spacing w:before="0" w:after="80"/>
            </w:pPr>
          </w:p>
        </w:tc>
      </w:tr>
    </w:tbl>
    <w:p w:rsidR="00A45CBE" w:rsidRDefault="00A45CBE"/>
    <w:p w:rsidR="009D1297" w:rsidRDefault="009D1297">
      <w:pPr>
        <w:pStyle w:val="Heading1"/>
      </w:pPr>
    </w:p>
    <w:p w:rsidR="00A45CBE" w:rsidRDefault="004873B5">
      <w:pPr>
        <w:pStyle w:val="Heading1"/>
      </w:pPr>
      <w:r>
        <w:t>8. Proposed Methodology</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8.1 Pipeline Workflow &amp; Data Architecture</w:t>
            </w:r>
          </w:p>
          <w:p>
            <w:pPr>
              <w:spacing w:before="40" w:after="100" w:line="276" w:lineRule="auto"/>
              <w:jc w:val="both"/>
            </w:pPr>
            <w:r>
              <w:rPr>
                <w:rFonts w:ascii="Calibri" w:hAnsi="Calibri"/>
                <w:color w:val="222222"/>
                <w:sz w:val="22"/>
              </w:rPr>
              <w:t>The proposed framework executes a modular deep learning workflow engineered for high-resolution multi-label classification:</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Patient-Level Dataset Split: Metadata from Data_Entry_2017.csv and train_val_list.txt is programmatically split by Patient ID: 68,918 images (61.47%) for training, 17,606 images (15.70%) for validation, and 25,596 images (22.83%) for unseen test evaluation.</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Image Transformation: Images are loaded as 448×448px 3-channel tensors, augmented with random horizontal flips (p=0.5), rotation (±15°), scale cropping (0.8–1.0), and ColorJitter brightness/contrast adjustment (factor=0.15).</w:t>
            </w:r>
          </w:p>
          <w:p>
            <w:pPr>
              <w:spacing w:before="160" w:after="60"/>
              <w:jc w:val="left"/>
            </w:pPr>
            <w:r>
              <w:rPr>
                <w:rFonts w:ascii="Calibri" w:hAnsi="Calibri"/>
                <w:b/>
                <w:color w:val="1E375A"/>
                <w:sz w:val="24"/>
              </w:rPr>
              <w:t>8.2 Mathematical Loss Formulation</w:t>
            </w:r>
          </w:p>
          <w:p>
            <w:pPr>
              <w:spacing w:before="40" w:after="100" w:line="276" w:lineRule="auto"/>
              <w:jc w:val="both"/>
            </w:pPr>
            <w:r>
              <w:rPr>
                <w:rFonts w:ascii="Calibri" w:hAnsi="Calibri"/>
                <w:color w:val="222222"/>
                <w:sz w:val="22"/>
              </w:rPr>
              <w:t>Multi-label binary cross-entropy loss is calibrated using square-root damped class weights w_c to prevent extreme minority class penalties from dominating loss gradients:</w:t>
            </w:r>
          </w:p>
          <w:p>
            <w:pPr>
              <w:spacing w:before="40" w:after="100" w:line="276" w:lineRule="auto"/>
              <w:jc w:val="both"/>
            </w:pPr>
            <w:r>
              <w:rPr>
                <w:rFonts w:ascii="Calibri" w:hAnsi="Calibri"/>
                <w:b/>
                <w:color w:val="1E375A"/>
                <w:sz w:val="22"/>
              </w:rPr>
              <w:t xml:space="preserve">Calibrated BCE Loss Equation: </w:t>
            </w:r>
            <w:r>
              <w:rPr>
                <w:rFonts w:ascii="Calibri" w:hAnsi="Calibri"/>
                <w:color w:val="222222"/>
                <w:sz w:val="22"/>
              </w:rPr>
              <w:t>L_BCE = - (1/C) * sum_{c=1}^C w_c * [ y_c * log(sigma(z_c)) + (1 - y_c) * log(1 - sigma(z_c)) ], where w_c = sqrt( N_{neg,c} / N_{pos,c} )</w:t>
            </w:r>
          </w:p>
          <w:p>
            <w:pPr>
              <w:spacing w:before="160" w:after="60"/>
              <w:jc w:val="left"/>
            </w:pPr>
            <w:r>
              <w:rPr>
                <w:rFonts w:ascii="Calibri" w:hAnsi="Calibri"/>
                <w:b/>
                <w:color w:val="1E375A"/>
                <w:sz w:val="24"/>
              </w:rPr>
              <w:t>8.3 Training Protocol &amp; AMP Acceleration</w:t>
            </w:r>
          </w:p>
          <w:p>
            <w:pPr>
              <w:spacing w:before="40" w:after="100" w:line="276" w:lineRule="auto"/>
              <w:jc w:val="both"/>
            </w:pPr>
            <w:r>
              <w:rPr>
                <w:rFonts w:ascii="Calibri" w:hAnsi="Calibri"/>
                <w:color w:val="222222"/>
                <w:sz w:val="22"/>
              </w:rPr>
              <w:t>Models are trained using AdamW (lr=1e-4, weight_decay=1e-5). Epoch 1 freezes backbone convolutional layers to warm up the 14-disease linear classifier head. PyTorch GradScaler (float16 AMP) accelerates forward/backward passes by 2× and cuts VRAM usage by 50%.</w:t>
            </w:r>
          </w:p>
          <w:p>
            <w:pPr>
              <w:spacing w:before="160" w:after="60"/>
              <w:jc w:val="left"/>
            </w:pPr>
            <w:r>
              <w:rPr>
                <w:rFonts w:ascii="Calibri" w:hAnsi="Calibri"/>
                <w:b/>
                <w:color w:val="1E375A"/>
                <w:sz w:val="24"/>
              </w:rPr>
              <w:t>8.4 Model Architectures &amp; Soft-Voting Ensemble</w:t>
            </w:r>
          </w:p>
          <w:p>
            <w:pPr>
              <w:spacing w:before="40" w:after="100" w:line="276" w:lineRule="auto"/>
              <w:jc w:val="both"/>
            </w:pPr>
            <w:r>
              <w:rPr>
                <w:rFonts w:ascii="Calibri" w:hAnsi="Calibri"/>
                <w:color w:val="222222"/>
                <w:sz w:val="22"/>
              </w:rPr>
              <w:t>Four architectures were trained: DenseNet-121 (~7M), CheXNet (~7M), Swin-T (~28M), and ConvNeXt-Large (~198M). Predictions are aggregated via Weighted Soft-Voting with Test-Time Augmentation (TTA):</w:t>
            </w:r>
          </w:p>
          <w:p>
            <w:pPr>
              <w:spacing w:before="40" w:after="100" w:line="276" w:lineRule="auto"/>
              <w:jc w:val="both"/>
            </w:pPr>
            <w:r>
              <w:rPr>
                <w:rFonts w:ascii="Calibri" w:hAnsi="Calibri"/>
                <w:b/>
                <w:color w:val="1E375A"/>
                <w:sz w:val="22"/>
              </w:rPr>
              <w:t xml:space="preserve">Ensemble Probability Equation: </w:t>
            </w:r>
            <w:r>
              <w:rPr>
                <w:rFonts w:ascii="Calibri" w:hAnsi="Calibri"/>
                <w:color w:val="222222"/>
                <w:sz w:val="22"/>
              </w:rPr>
              <w:t>P_Ensemble = 0.35 * P_ConvNeXt-L + 0.30 * P_CheXNet + 0.175 * P_DenseNet121 + 0.175 * P_Swin-T</w:t>
            </w:r>
          </w:p>
          <w:p>
            <w:pPr>
              <w:spacing w:before="160" w:after="60"/>
              <w:jc w:val="left"/>
            </w:pPr>
            <w:r>
              <w:rPr>
                <w:rFonts w:ascii="Calibri" w:hAnsi="Calibri"/>
                <w:b/>
                <w:color w:val="1E375A"/>
                <w:sz w:val="24"/>
              </w:rPr>
              <w:t>8.5 Grad-CAM XAI &amp; Spatial Tensor Permutation</w:t>
            </w:r>
          </w:p>
          <w:p>
            <w:pPr>
              <w:spacing w:before="40" w:after="100" w:line="276" w:lineRule="auto"/>
              <w:jc w:val="both"/>
            </w:pPr>
            <w:r>
              <w:rPr>
                <w:rFonts w:ascii="Calibri" w:hAnsi="Calibri"/>
                <w:color w:val="222222"/>
                <w:sz w:val="22"/>
              </w:rPr>
              <w:t>Grad-CAM computes spatial activation maps over the final feature stage. For Swin-T Vision Transformer token tensors ([H, W, C]), spatial permutation np.transpose(activations, (2, 0, 1)) is applied to restore 2D spatial feature grids ([C, H, W]) before gradient backpropagation.</w:t>
            </w:r>
          </w:p>
        </w:tc>
      </w:tr>
    </w:tbl>
    <w:p w:rsidR="00A45CBE" w:rsidRDefault="00A45CBE"/>
    <w:p w:rsidR="009D1297" w:rsidRDefault="009D1297">
      <w:pPr>
        <w:pStyle w:val="Heading1"/>
      </w:pPr>
    </w:p>
    <w:p w:rsidR="00A45CBE" w:rsidRDefault="004873B5">
      <w:pPr>
        <w:pStyle w:val="Heading1"/>
      </w:pPr>
      <w:r>
        <w:t>9. Tools, Technologies, and Resources</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9.1 Hardware &amp; Software Resource Specifications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E375A"/>
                </w:tcPr>
                <w:p>
                  <w:pPr>
                    <w:jc w:val="center"/>
                  </w:pPr>
                  <w:r>
                    <w:rPr>
                      <w:rFonts w:ascii="Calibri" w:hAnsi="Calibri"/>
                      <w:b/>
                      <w:color w:val="FFFFFF"/>
                      <w:sz w:val="19"/>
                    </w:rPr>
                    <w:t>Category</w:t>
                  </w:r>
                </w:p>
              </w:tc>
              <w:tc>
                <w:tcPr>
                  <w:tcW w:type="dxa" w:w="2412"/>
                  <w:shd w:val="clear" w:color="auto" w:fill="1E375A"/>
                </w:tcPr>
                <w:p>
                  <w:pPr>
                    <w:jc w:val="center"/>
                  </w:pPr>
                  <w:r>
                    <w:rPr>
                      <w:rFonts w:ascii="Calibri" w:hAnsi="Calibri"/>
                      <w:b/>
                      <w:color w:val="FFFFFF"/>
                      <w:sz w:val="19"/>
                    </w:rPr>
                    <w:t>Tool / Resource Name</w:t>
                  </w:r>
                </w:p>
              </w:tc>
              <w:tc>
                <w:tcPr>
                  <w:tcW w:type="dxa" w:w="2412"/>
                  <w:shd w:val="clear" w:color="auto" w:fill="1E375A"/>
                </w:tcPr>
                <w:p>
                  <w:pPr>
                    <w:jc w:val="center"/>
                  </w:pPr>
                  <w:r>
                    <w:rPr>
                      <w:rFonts w:ascii="Calibri" w:hAnsi="Calibri"/>
                      <w:b/>
                      <w:color w:val="FFFFFF"/>
                      <w:sz w:val="19"/>
                    </w:rPr>
                    <w:t>Specification / Version</w:t>
                  </w:r>
                </w:p>
              </w:tc>
              <w:tc>
                <w:tcPr>
                  <w:tcW w:type="dxa" w:w="2412"/>
                  <w:shd w:val="clear" w:color="auto" w:fill="1E375A"/>
                </w:tcPr>
                <w:p>
                  <w:pPr>
                    <w:jc w:val="center"/>
                  </w:pPr>
                  <w:r>
                    <w:rPr>
                      <w:rFonts w:ascii="Calibri" w:hAnsi="Calibri"/>
                      <w:b/>
                      <w:color w:val="FFFFFF"/>
                      <w:sz w:val="19"/>
                    </w:rPr>
                    <w:t>Purpose in Project</w:t>
                  </w:r>
                </w:p>
              </w:tc>
            </w:tr>
            <w:tr>
              <w:tc>
                <w:tcPr>
                  <w:tcW w:type="dxa" w:w="2412"/>
                  <w:shd w:val="clear" w:color="auto" w:fill="FFFFFF"/>
                </w:tcPr>
                <w:p>
                  <w:pPr>
                    <w:jc w:val="center"/>
                  </w:pPr>
                  <w:r>
                    <w:rPr>
                      <w:rFonts w:ascii="Calibri" w:hAnsi="Calibri"/>
                      <w:color w:val="222222"/>
                      <w:sz w:val="19"/>
                    </w:rPr>
                    <w:t>Language</w:t>
                  </w:r>
                </w:p>
              </w:tc>
              <w:tc>
                <w:tcPr>
                  <w:tcW w:type="dxa" w:w="2412"/>
                  <w:shd w:val="clear" w:color="auto" w:fill="FFFFFF"/>
                </w:tcPr>
                <w:p>
                  <w:pPr>
                    <w:jc w:val="center"/>
                  </w:pPr>
                  <w:r>
                    <w:rPr>
                      <w:rFonts w:ascii="Calibri" w:hAnsi="Calibri"/>
                      <w:color w:val="222222"/>
                      <w:sz w:val="19"/>
                    </w:rPr>
                    <w:t>Python</w:t>
                  </w:r>
                </w:p>
              </w:tc>
              <w:tc>
                <w:tcPr>
                  <w:tcW w:type="dxa" w:w="2412"/>
                  <w:shd w:val="clear" w:color="auto" w:fill="FFFFFF"/>
                </w:tcPr>
                <w:p>
                  <w:pPr>
                    <w:jc w:val="center"/>
                  </w:pPr>
                  <w:r>
                    <w:rPr>
                      <w:rFonts w:ascii="Calibri" w:hAnsi="Calibri"/>
                      <w:color w:val="222222"/>
                      <w:sz w:val="19"/>
                    </w:rPr>
                    <w:t>3.11.x</w:t>
                  </w:r>
                </w:p>
              </w:tc>
              <w:tc>
                <w:tcPr>
                  <w:tcW w:type="dxa" w:w="2412"/>
                  <w:shd w:val="clear" w:color="auto" w:fill="FFFFFF"/>
                </w:tcPr>
                <w:p>
                  <w:pPr>
                    <w:jc w:val="center"/>
                  </w:pPr>
                  <w:r>
                    <w:rPr>
                      <w:rFonts w:ascii="Calibri" w:hAnsi="Calibri"/>
                      <w:color w:val="222222"/>
                      <w:sz w:val="19"/>
                    </w:rPr>
                    <w:t>Core programming runtime</w:t>
                  </w:r>
                </w:p>
              </w:tc>
            </w:tr>
            <w:tr>
              <w:tc>
                <w:tcPr>
                  <w:tcW w:type="dxa" w:w="2412"/>
                  <w:shd w:val="clear" w:color="auto" w:fill="F4F7FA"/>
                </w:tcPr>
                <w:p>
                  <w:pPr>
                    <w:jc w:val="center"/>
                  </w:pPr>
                  <w:r>
                    <w:rPr>
                      <w:rFonts w:ascii="Calibri" w:hAnsi="Calibri"/>
                      <w:color w:val="222222"/>
                      <w:sz w:val="19"/>
                    </w:rPr>
                    <w:t>DL Framework</w:t>
                  </w:r>
                </w:p>
              </w:tc>
              <w:tc>
                <w:tcPr>
                  <w:tcW w:type="dxa" w:w="2412"/>
                  <w:shd w:val="clear" w:color="auto" w:fill="F4F7FA"/>
                </w:tcPr>
                <w:p>
                  <w:pPr>
                    <w:jc w:val="center"/>
                  </w:pPr>
                  <w:r>
                    <w:rPr>
                      <w:rFonts w:ascii="Calibri" w:hAnsi="Calibri"/>
                      <w:color w:val="222222"/>
                      <w:sz w:val="19"/>
                    </w:rPr>
                    <w:t>PyTorch</w:t>
                  </w:r>
                </w:p>
              </w:tc>
              <w:tc>
                <w:tcPr>
                  <w:tcW w:type="dxa" w:w="2412"/>
                  <w:shd w:val="clear" w:color="auto" w:fill="F4F7FA"/>
                </w:tcPr>
                <w:p>
                  <w:pPr>
                    <w:jc w:val="center"/>
                  </w:pPr>
                  <w:r>
                    <w:rPr>
                      <w:rFonts w:ascii="Calibri" w:hAnsi="Calibri"/>
                      <w:color w:val="222222"/>
                      <w:sz w:val="19"/>
                    </w:rPr>
                    <w:t>2.x (CUDA 12.1)</w:t>
                  </w:r>
                </w:p>
              </w:tc>
              <w:tc>
                <w:tcPr>
                  <w:tcW w:type="dxa" w:w="2412"/>
                  <w:shd w:val="clear" w:color="auto" w:fill="F4F7FA"/>
                </w:tcPr>
                <w:p>
                  <w:pPr>
                    <w:jc w:val="center"/>
                  </w:pPr>
                  <w:r>
                    <w:rPr>
                      <w:rFonts w:ascii="Calibri" w:hAnsi="Calibri"/>
                      <w:color w:val="222222"/>
                      <w:sz w:val="19"/>
                    </w:rPr>
                    <w:t>Model building, AMP &amp; GPU training</w:t>
                  </w:r>
                </w:p>
              </w:tc>
            </w:tr>
            <w:tr>
              <w:tc>
                <w:tcPr>
                  <w:tcW w:type="dxa" w:w="2412"/>
                  <w:shd w:val="clear" w:color="auto" w:fill="FFFFFF"/>
                </w:tcPr>
                <w:p>
                  <w:pPr>
                    <w:jc w:val="center"/>
                  </w:pPr>
                  <w:r>
                    <w:rPr>
                      <w:rFonts w:ascii="Calibri" w:hAnsi="Calibri"/>
                      <w:color w:val="222222"/>
                      <w:sz w:val="19"/>
                    </w:rPr>
                    <w:t>Hardware</w:t>
                  </w:r>
                </w:p>
              </w:tc>
              <w:tc>
                <w:tcPr>
                  <w:tcW w:type="dxa" w:w="2412"/>
                  <w:shd w:val="clear" w:color="auto" w:fill="FFFFFF"/>
                </w:tcPr>
                <w:p>
                  <w:pPr>
                    <w:jc w:val="center"/>
                  </w:pPr>
                  <w:r>
                    <w:rPr>
                      <w:rFonts w:ascii="Calibri" w:hAnsi="Calibri"/>
                      <w:color w:val="222222"/>
                      <w:sz w:val="19"/>
                    </w:rPr>
                    <w:t>NVIDIA RTX 2000 Ada</w:t>
                  </w:r>
                </w:p>
              </w:tc>
              <w:tc>
                <w:tcPr>
                  <w:tcW w:type="dxa" w:w="2412"/>
                  <w:shd w:val="clear" w:color="auto" w:fill="FFFFFF"/>
                </w:tcPr>
                <w:p>
                  <w:pPr>
                    <w:jc w:val="center"/>
                  </w:pPr>
                  <w:r>
                    <w:rPr>
                      <w:rFonts w:ascii="Calibri" w:hAnsi="Calibri"/>
                      <w:color w:val="222222"/>
                      <w:sz w:val="19"/>
                    </w:rPr>
                    <w:t>16 GB VRAM, 68W TDP</w:t>
                  </w:r>
                </w:p>
              </w:tc>
              <w:tc>
                <w:tcPr>
                  <w:tcW w:type="dxa" w:w="2412"/>
                  <w:shd w:val="clear" w:color="auto" w:fill="FFFFFF"/>
                </w:tcPr>
                <w:p>
                  <w:pPr>
                    <w:jc w:val="center"/>
                  </w:pPr>
                  <w:r>
                    <w:rPr>
                      <w:rFonts w:ascii="Calibri" w:hAnsi="Calibri"/>
                      <w:color w:val="222222"/>
                      <w:sz w:val="19"/>
                    </w:rPr>
                    <w:t>Model fine-tuning &amp; inference</w:t>
                  </w:r>
                </w:p>
              </w:tc>
            </w:tr>
            <w:tr>
              <w:tc>
                <w:tcPr>
                  <w:tcW w:type="dxa" w:w="2412"/>
                  <w:shd w:val="clear" w:color="auto" w:fill="F4F7FA"/>
                </w:tcPr>
                <w:p>
                  <w:pPr>
                    <w:jc w:val="center"/>
                  </w:pPr>
                  <w:r>
                    <w:rPr>
                      <w:rFonts w:ascii="Calibri" w:hAnsi="Calibri"/>
                      <w:color w:val="222222"/>
                      <w:sz w:val="19"/>
                    </w:rPr>
                    <w:t>Precision</w:t>
                  </w:r>
                </w:p>
              </w:tc>
              <w:tc>
                <w:tcPr>
                  <w:tcW w:type="dxa" w:w="2412"/>
                  <w:shd w:val="clear" w:color="auto" w:fill="F4F7FA"/>
                </w:tcPr>
                <w:p>
                  <w:pPr>
                    <w:jc w:val="center"/>
                  </w:pPr>
                  <w:r>
                    <w:rPr>
                      <w:rFonts w:ascii="Calibri" w:hAnsi="Calibri"/>
                      <w:color w:val="222222"/>
                      <w:sz w:val="19"/>
                    </w:rPr>
                    <w:t>torch.cuda.amp</w:t>
                  </w:r>
                </w:p>
              </w:tc>
              <w:tc>
                <w:tcPr>
                  <w:tcW w:type="dxa" w:w="2412"/>
                  <w:shd w:val="clear" w:color="auto" w:fill="F4F7FA"/>
                </w:tcPr>
                <w:p>
                  <w:pPr>
                    <w:jc w:val="center"/>
                  </w:pPr>
                  <w:r>
                    <w:rPr>
                      <w:rFonts w:ascii="Calibri" w:hAnsi="Calibri"/>
                      <w:color w:val="222222"/>
                      <w:sz w:val="19"/>
                    </w:rPr>
                    <w:t>GradScaler (float16)</w:t>
                  </w:r>
                </w:p>
              </w:tc>
              <w:tc>
                <w:tcPr>
                  <w:tcW w:type="dxa" w:w="2412"/>
                  <w:shd w:val="clear" w:color="auto" w:fill="F4F7FA"/>
                </w:tcPr>
                <w:p>
                  <w:pPr>
                    <w:jc w:val="center"/>
                  </w:pPr>
                  <w:r>
                    <w:rPr>
                      <w:rFonts w:ascii="Calibri" w:hAnsi="Calibri"/>
                      <w:color w:val="222222"/>
                      <w:sz w:val="19"/>
                    </w:rPr>
                    <w:t>2x acceleration &amp; VRAM saving</w:t>
                  </w:r>
                </w:p>
              </w:tc>
            </w:tr>
            <w:tr>
              <w:tc>
                <w:tcPr>
                  <w:tcW w:type="dxa" w:w="2412"/>
                  <w:shd w:val="clear" w:color="auto" w:fill="FFFFFF"/>
                </w:tcPr>
                <w:p>
                  <w:pPr>
                    <w:jc w:val="center"/>
                  </w:pPr>
                  <w:r>
                    <w:rPr>
                      <w:rFonts w:ascii="Calibri" w:hAnsi="Calibri"/>
                      <w:color w:val="222222"/>
                      <w:sz w:val="19"/>
                    </w:rPr>
                    <w:t>Backbones</w:t>
                  </w:r>
                </w:p>
              </w:tc>
              <w:tc>
                <w:tcPr>
                  <w:tcW w:type="dxa" w:w="2412"/>
                  <w:shd w:val="clear" w:color="auto" w:fill="FFFFFF"/>
                </w:tcPr>
                <w:p>
                  <w:pPr>
                    <w:jc w:val="center"/>
                  </w:pPr>
                  <w:r>
                    <w:rPr>
                      <w:rFonts w:ascii="Calibri" w:hAnsi="Calibri"/>
                      <w:color w:val="222222"/>
                      <w:sz w:val="19"/>
                    </w:rPr>
                    <w:t>torchvision / timm</w:t>
                  </w:r>
                </w:p>
              </w:tc>
              <w:tc>
                <w:tcPr>
                  <w:tcW w:type="dxa" w:w="2412"/>
                  <w:shd w:val="clear" w:color="auto" w:fill="FFFFFF"/>
                </w:tcPr>
                <w:p>
                  <w:pPr>
                    <w:jc w:val="center"/>
                  </w:pPr>
                  <w:r>
                    <w:rPr>
                      <w:rFonts w:ascii="Calibri" w:hAnsi="Calibri"/>
                      <w:color w:val="222222"/>
                      <w:sz w:val="19"/>
                    </w:rPr>
                    <w:t>DenseNet, Swin-T, ConvNeXt-L</w:t>
                  </w:r>
                </w:p>
              </w:tc>
              <w:tc>
                <w:tcPr>
                  <w:tcW w:type="dxa" w:w="2412"/>
                  <w:shd w:val="clear" w:color="auto" w:fill="FFFFFF"/>
                </w:tcPr>
                <w:p>
                  <w:pPr>
                    <w:jc w:val="center"/>
                  </w:pPr>
                  <w:r>
                    <w:rPr>
                      <w:rFonts w:ascii="Calibri" w:hAnsi="Calibri"/>
                      <w:color w:val="222222"/>
                      <w:sz w:val="19"/>
                    </w:rPr>
                    <w:t>Model architecture factory</w:t>
                  </w:r>
                </w:p>
              </w:tc>
            </w:tr>
            <w:tr>
              <w:tc>
                <w:tcPr>
                  <w:tcW w:type="dxa" w:w="2412"/>
                  <w:shd w:val="clear" w:color="auto" w:fill="F4F7FA"/>
                </w:tcPr>
                <w:p>
                  <w:pPr>
                    <w:jc w:val="center"/>
                  </w:pPr>
                  <w:r>
                    <w:rPr>
                      <w:rFonts w:ascii="Calibri" w:hAnsi="Calibri"/>
                      <w:color w:val="222222"/>
                      <w:sz w:val="19"/>
                    </w:rPr>
                    <w:t>Explainability</w:t>
                  </w:r>
                </w:p>
              </w:tc>
              <w:tc>
                <w:tcPr>
                  <w:tcW w:type="dxa" w:w="2412"/>
                  <w:shd w:val="clear" w:color="auto" w:fill="F4F7FA"/>
                </w:tcPr>
                <w:p>
                  <w:pPr>
                    <w:jc w:val="center"/>
                  </w:pPr>
                  <w:r>
                    <w:rPr>
                      <w:rFonts w:ascii="Calibri" w:hAnsi="Calibri"/>
                      <w:color w:val="222222"/>
                      <w:sz w:val="19"/>
                    </w:rPr>
                    <w:t>Grad-CAM (Custom)</w:t>
                  </w:r>
                </w:p>
              </w:tc>
              <w:tc>
                <w:tcPr>
                  <w:tcW w:type="dxa" w:w="2412"/>
                  <w:shd w:val="clear" w:color="auto" w:fill="F4F7FA"/>
                </w:tcPr>
                <w:p>
                  <w:pPr>
                    <w:jc w:val="center"/>
                  </w:pPr>
                  <w:r>
                    <w:rPr>
                      <w:rFonts w:ascii="Calibri" w:hAnsi="Calibri"/>
                      <w:color w:val="222222"/>
                      <w:sz w:val="19"/>
                    </w:rPr>
                    <w:t>CNN + ViT permuted hooks</w:t>
                  </w:r>
                </w:p>
              </w:tc>
              <w:tc>
                <w:tcPr>
                  <w:tcW w:type="dxa" w:w="2412"/>
                  <w:shd w:val="clear" w:color="auto" w:fill="F4F7FA"/>
                </w:tcPr>
                <w:p>
                  <w:pPr>
                    <w:jc w:val="center"/>
                  </w:pPr>
                  <w:r>
                    <w:rPr>
                      <w:rFonts w:ascii="Calibri" w:hAnsi="Calibri"/>
                      <w:color w:val="222222"/>
                      <w:sz w:val="19"/>
                    </w:rPr>
                    <w:t>Anatomical visual heatmaps</w:t>
                  </w:r>
                </w:p>
              </w:tc>
            </w:tr>
            <w:tr>
              <w:tc>
                <w:tcPr>
                  <w:tcW w:type="dxa" w:w="2412"/>
                  <w:shd w:val="clear" w:color="auto" w:fill="FFFFFF"/>
                </w:tcPr>
                <w:p>
                  <w:pPr>
                    <w:jc w:val="center"/>
                  </w:pPr>
                  <w:r>
                    <w:rPr>
                      <w:rFonts w:ascii="Calibri" w:hAnsi="Calibri"/>
                      <w:color w:val="222222"/>
                      <w:sz w:val="19"/>
                    </w:rPr>
                    <w:t>Data Tools</w:t>
                  </w:r>
                </w:p>
              </w:tc>
              <w:tc>
                <w:tcPr>
                  <w:tcW w:type="dxa" w:w="2412"/>
                  <w:shd w:val="clear" w:color="auto" w:fill="FFFFFF"/>
                </w:tcPr>
                <w:p>
                  <w:pPr>
                    <w:jc w:val="center"/>
                  </w:pPr>
                  <w:r>
                    <w:rPr>
                      <w:rFonts w:ascii="Calibri" w:hAnsi="Calibri"/>
                      <w:color w:val="222222"/>
                      <w:sz w:val="19"/>
                    </w:rPr>
                    <w:t>pandas / NumPy / PIL</w:t>
                  </w:r>
                </w:p>
              </w:tc>
              <w:tc>
                <w:tcPr>
                  <w:tcW w:type="dxa" w:w="2412"/>
                  <w:shd w:val="clear" w:color="auto" w:fill="FFFFFF"/>
                </w:tcPr>
                <w:p>
                  <w:pPr>
                    <w:jc w:val="center"/>
                  </w:pPr>
                  <w:r>
                    <w:rPr>
                      <w:rFonts w:ascii="Calibri" w:hAnsi="Calibri"/>
                      <w:color w:val="222222"/>
                      <w:sz w:val="19"/>
                    </w:rPr>
                    <w:t>Metadata &amp; array processing</w:t>
                  </w:r>
                </w:p>
              </w:tc>
              <w:tc>
                <w:tcPr>
                  <w:tcW w:type="dxa" w:w="2412"/>
                  <w:shd w:val="clear" w:color="auto" w:fill="FFFFFF"/>
                </w:tcPr>
                <w:p>
                  <w:pPr>
                    <w:jc w:val="center"/>
                  </w:pPr>
                  <w:r>
                    <w:rPr>
                      <w:rFonts w:ascii="Calibri" w:hAnsi="Calibri"/>
                      <w:color w:val="222222"/>
                      <w:sz w:val="19"/>
                    </w:rPr>
                    <w:t>CSV parsing &amp; image pipeline</w:t>
                  </w:r>
                </w:p>
              </w:tc>
            </w:tr>
            <w:tr>
              <w:tc>
                <w:tcPr>
                  <w:tcW w:type="dxa" w:w="2412"/>
                  <w:shd w:val="clear" w:color="auto" w:fill="F4F7FA"/>
                </w:tcPr>
                <w:p>
                  <w:pPr>
                    <w:jc w:val="center"/>
                  </w:pPr>
                  <w:r>
                    <w:rPr>
                      <w:rFonts w:ascii="Calibri" w:hAnsi="Calibri"/>
                      <w:color w:val="222222"/>
                      <w:sz w:val="19"/>
                    </w:rPr>
                    <w:t>Visualization</w:t>
                  </w:r>
                </w:p>
              </w:tc>
              <w:tc>
                <w:tcPr>
                  <w:tcW w:type="dxa" w:w="2412"/>
                  <w:shd w:val="clear" w:color="auto" w:fill="F4F7FA"/>
                </w:tcPr>
                <w:p>
                  <w:pPr>
                    <w:jc w:val="center"/>
                  </w:pPr>
                  <w:r>
                    <w:rPr>
                      <w:rFonts w:ascii="Calibri" w:hAnsi="Calibri"/>
                      <w:color w:val="222222"/>
                      <w:sz w:val="19"/>
                    </w:rPr>
                    <w:t>Matplotlib / Seaborn</w:t>
                  </w:r>
                </w:p>
              </w:tc>
              <w:tc>
                <w:tcPr>
                  <w:tcW w:type="dxa" w:w="2412"/>
                  <w:shd w:val="clear" w:color="auto" w:fill="F4F7FA"/>
                </w:tcPr>
                <w:p>
                  <w:pPr>
                    <w:jc w:val="center"/>
                  </w:pPr>
                  <w:r>
                    <w:rPr>
                      <w:rFonts w:ascii="Calibri" w:hAnsi="Calibri"/>
                      <w:color w:val="222222"/>
                      <w:sz w:val="19"/>
                    </w:rPr>
                    <w:t>10 chart types per model</w:t>
                  </w:r>
                </w:p>
              </w:tc>
              <w:tc>
                <w:tcPr>
                  <w:tcW w:type="dxa" w:w="2412"/>
                  <w:shd w:val="clear" w:color="auto" w:fill="F4F7FA"/>
                </w:tcPr>
                <w:p>
                  <w:pPr>
                    <w:jc w:val="center"/>
                  </w:pPr>
                  <w:r>
                    <w:rPr>
                      <w:rFonts w:ascii="Calibri" w:hAnsi="Calibri"/>
                      <w:color w:val="222222"/>
                      <w:sz w:val="19"/>
                    </w:rPr>
                    <w:t>40 evaluation figures</w:t>
                  </w:r>
                </w:p>
              </w:tc>
            </w:tr>
            <w:tr>
              <w:tc>
                <w:tcPr>
                  <w:tcW w:type="dxa" w:w="2412"/>
                  <w:shd w:val="clear" w:color="auto" w:fill="FFFFFF"/>
                </w:tcPr>
                <w:p>
                  <w:pPr>
                    <w:jc w:val="center"/>
                  </w:pPr>
                  <w:r>
                    <w:rPr>
                      <w:rFonts w:ascii="Calibri" w:hAnsi="Calibri"/>
                      <w:color w:val="222222"/>
                      <w:sz w:val="19"/>
                    </w:rPr>
                    <w:t>Dataset</w:t>
                  </w:r>
                </w:p>
              </w:tc>
              <w:tc>
                <w:tcPr>
                  <w:tcW w:type="dxa" w:w="2412"/>
                  <w:shd w:val="clear" w:color="auto" w:fill="FFFFFF"/>
                </w:tcPr>
                <w:p>
                  <w:pPr>
                    <w:jc w:val="center"/>
                  </w:pPr>
                  <w:r>
                    <w:rPr>
                      <w:rFonts w:ascii="Calibri" w:hAnsi="Calibri"/>
                      <w:color w:val="222222"/>
                      <w:sz w:val="19"/>
                    </w:rPr>
                    <w:t>NIH ChestX-ray14</w:t>
                  </w:r>
                </w:p>
              </w:tc>
              <w:tc>
                <w:tcPr>
                  <w:tcW w:type="dxa" w:w="2412"/>
                  <w:shd w:val="clear" w:color="auto" w:fill="FFFFFF"/>
                </w:tcPr>
                <w:p>
                  <w:pPr>
                    <w:jc w:val="center"/>
                  </w:pPr>
                  <w:r>
                    <w:rPr>
                      <w:rFonts w:ascii="Calibri" w:hAnsi="Calibri"/>
                      <w:color w:val="222222"/>
                      <w:sz w:val="19"/>
                    </w:rPr>
                    <w:t>112,120 images / 30,805 patients</w:t>
                  </w:r>
                </w:p>
              </w:tc>
              <w:tc>
                <w:tcPr>
                  <w:tcW w:type="dxa" w:w="2412"/>
                  <w:shd w:val="clear" w:color="auto" w:fill="FFFFFF"/>
                </w:tcPr>
                <w:p>
                  <w:pPr>
                    <w:jc w:val="center"/>
                  </w:pPr>
                  <w:r>
                    <w:rPr>
                      <w:rFonts w:ascii="Calibri" w:hAnsi="Calibri"/>
                      <w:color w:val="222222"/>
                      <w:sz w:val="19"/>
                    </w:rPr>
                    <w:t>Training &amp; evaluation benchmark</w:t>
                  </w:r>
                </w:p>
              </w:tc>
            </w:tr>
            <w:tr>
              <w:tc>
                <w:tcPr>
                  <w:tcW w:type="dxa" w:w="2412"/>
                  <w:shd w:val="clear" w:color="auto" w:fill="F4F7FA"/>
                </w:tcPr>
                <w:p>
                  <w:pPr>
                    <w:jc w:val="center"/>
                  </w:pPr>
                  <w:r>
                    <w:rPr>
                      <w:rFonts w:ascii="Calibri" w:hAnsi="Calibri"/>
                      <w:color w:val="222222"/>
                      <w:sz w:val="19"/>
                    </w:rPr>
                    <w:t>Repository</w:t>
                  </w:r>
                </w:p>
              </w:tc>
              <w:tc>
                <w:tcPr>
                  <w:tcW w:type="dxa" w:w="2412"/>
                  <w:shd w:val="clear" w:color="auto" w:fill="F4F7FA"/>
                </w:tcPr>
                <w:p>
                  <w:pPr>
                    <w:jc w:val="center"/>
                  </w:pPr>
                  <w:r>
                    <w:rPr>
                      <w:rFonts w:ascii="Calibri" w:hAnsi="Calibri"/>
                      <w:color w:val="222222"/>
                      <w:sz w:val="19"/>
                    </w:rPr>
                    <w:t>Git / GitHub</w:t>
                  </w:r>
                </w:p>
              </w:tc>
              <w:tc>
                <w:tcPr>
                  <w:tcW w:type="dxa" w:w="2412"/>
                  <w:shd w:val="clear" w:color="auto" w:fill="F4F7FA"/>
                </w:tcPr>
                <w:p>
                  <w:pPr>
                    <w:jc w:val="center"/>
                  </w:pPr>
                  <w:r>
                    <w:rPr>
                      <w:rFonts w:ascii="Calibri" w:hAnsi="Calibri"/>
                      <w:color w:val="222222"/>
                      <w:sz w:val="19"/>
                    </w:rPr>
                    <w:t>markegyptian55-cloud/chestxray14</w:t>
                  </w:r>
                </w:p>
              </w:tc>
              <w:tc>
                <w:tcPr>
                  <w:tcW w:type="dxa" w:w="2412"/>
                  <w:shd w:val="clear" w:color="auto" w:fill="F4F7FA"/>
                </w:tcPr>
                <w:p>
                  <w:pPr>
                    <w:jc w:val="center"/>
                  </w:pPr>
                  <w:r>
                    <w:rPr>
                      <w:rFonts w:ascii="Calibri" w:hAnsi="Calibri"/>
                      <w:color w:val="222222"/>
                      <w:sz w:val="19"/>
                    </w:rPr>
                    <w:t>Open-source version control</w:t>
                  </w:r>
                </w:p>
              </w:tc>
            </w:tr>
            <w:tr>
              <w:tc>
                <w:tcPr>
                  <w:tcW w:type="dxa" w:w="2412"/>
                  <w:shd w:val="clear" w:color="auto" w:fill="FFFFFF"/>
                </w:tcPr>
                <w:p>
                  <w:pPr>
                    <w:jc w:val="center"/>
                  </w:pPr>
                  <w:r>
                    <w:rPr>
                      <w:rFonts w:ascii="Calibri" w:hAnsi="Calibri"/>
                      <w:color w:val="222222"/>
                      <w:sz w:val="19"/>
                    </w:rPr>
                    <w:t>Environment</w:t>
                  </w:r>
                </w:p>
              </w:tc>
              <w:tc>
                <w:tcPr>
                  <w:tcW w:type="dxa" w:w="2412"/>
                  <w:shd w:val="clear" w:color="auto" w:fill="FFFFFF"/>
                </w:tcPr>
                <w:p>
                  <w:pPr>
                    <w:jc w:val="center"/>
                  </w:pPr>
                  <w:r>
                    <w:rPr>
                      <w:rFonts w:ascii="Calibri" w:hAnsi="Calibri"/>
                      <w:color w:val="222222"/>
                      <w:sz w:val="19"/>
                    </w:rPr>
                    <w:t>Python venv</w:t>
                  </w:r>
                </w:p>
              </w:tc>
              <w:tc>
                <w:tcPr>
                  <w:tcW w:type="dxa" w:w="2412"/>
                  <w:shd w:val="clear" w:color="auto" w:fill="FFFFFF"/>
                </w:tcPr>
                <w:p>
                  <w:pPr>
                    <w:jc w:val="center"/>
                  </w:pPr>
                  <w:r>
                    <w:rPr>
                      <w:rFonts w:ascii="Calibri" w:hAnsi="Calibri"/>
                      <w:color w:val="222222"/>
                      <w:sz w:val="19"/>
                    </w:rPr>
                    <w:t>requirements.txt</w:t>
                  </w:r>
                </w:p>
              </w:tc>
              <w:tc>
                <w:tcPr>
                  <w:tcW w:type="dxa" w:w="2412"/>
                  <w:shd w:val="clear" w:color="auto" w:fill="FFFFFF"/>
                </w:tcPr>
                <w:p>
                  <w:pPr>
                    <w:jc w:val="center"/>
                  </w:pPr>
                  <w:r>
                    <w:rPr>
                      <w:rFonts w:ascii="Calibri" w:hAnsi="Calibri"/>
                      <w:color w:val="222222"/>
                      <w:sz w:val="19"/>
                    </w:rPr>
                    <w:t>Reproducible setup</w:t>
                  </w:r>
                </w:p>
              </w:tc>
            </w:tr>
            <w:tr>
              <w:tc>
                <w:tcPr>
                  <w:tcW w:type="dxa" w:w="2412"/>
                  <w:shd w:val="clear" w:color="auto" w:fill="F4F7FA"/>
                </w:tcPr>
                <w:p>
                  <w:pPr>
                    <w:jc w:val="center"/>
                  </w:pPr>
                  <w:r>
                    <w:rPr>
                      <w:rFonts w:ascii="Calibri" w:hAnsi="Calibri"/>
                      <w:color w:val="222222"/>
                      <w:sz w:val="19"/>
                    </w:rPr>
                    <w:t>Total Compute</w:t>
                  </w:r>
                </w:p>
              </w:tc>
              <w:tc>
                <w:tcPr>
                  <w:tcW w:type="dxa" w:w="2412"/>
                  <w:shd w:val="clear" w:color="auto" w:fill="F4F7FA"/>
                </w:tcPr>
                <w:p>
                  <w:pPr>
                    <w:jc w:val="center"/>
                  </w:pPr>
                  <w:r>
                    <w:rPr>
                      <w:rFonts w:ascii="Calibri" w:hAnsi="Calibri"/>
                      <w:color w:val="222222"/>
                      <w:sz w:val="19"/>
                    </w:rPr>
                    <w:t>GPU Execution</w:t>
                  </w:r>
                </w:p>
              </w:tc>
              <w:tc>
                <w:tcPr>
                  <w:tcW w:type="dxa" w:w="2412"/>
                  <w:shd w:val="clear" w:color="auto" w:fill="F4F7FA"/>
                </w:tcPr>
                <w:p>
                  <w:pPr>
                    <w:jc w:val="center"/>
                  </w:pPr>
                  <w:r>
                    <w:rPr>
                      <w:rFonts w:ascii="Calibri" w:hAnsi="Calibri"/>
                      <w:color w:val="222222"/>
                      <w:sz w:val="19"/>
                    </w:rPr>
                    <w:t>77 Hours 11 Minutes</w:t>
                  </w:r>
                </w:p>
              </w:tc>
              <w:tc>
                <w:tcPr>
                  <w:tcW w:type="dxa" w:w="2412"/>
                  <w:shd w:val="clear" w:color="auto" w:fill="F4F7FA"/>
                </w:tcPr>
                <w:p>
                  <w:pPr>
                    <w:jc w:val="center"/>
                  </w:pPr>
                  <w:r>
                    <w:rPr>
                      <w:rFonts w:ascii="Calibri" w:hAnsi="Calibri"/>
                      <w:color w:val="222222"/>
                      <w:sz w:val="19"/>
                    </w:rPr>
                    <w:t>Cumulative model training time</w:t>
                  </w:r>
                </w:p>
              </w:tc>
            </w:tr>
          </w:tbl>
          <w:p/>
          <w:p>
            <w:pPr>
              <w:spacing w:before="0" w:after="80"/>
            </w:pPr>
          </w:p>
        </w:tc>
      </w:tr>
    </w:tbl>
    <w:p w:rsidR="00A45CBE" w:rsidRDefault="00A45CBE"/>
    <w:p w:rsidR="009D1297" w:rsidRDefault="009D1297">
      <w:pPr>
        <w:pStyle w:val="Heading1"/>
      </w:pPr>
    </w:p>
    <w:p w:rsidR="00A45CBE" w:rsidRDefault="004873B5">
      <w:pPr>
        <w:pStyle w:val="Heading1"/>
      </w:pPr>
      <w:r>
        <w:t>10. Expected Deliverables</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10.1 Verified Project Deliverables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Trained Model Checkpoints: 4 best_model_auc.pth files (DenseNet-121 84.75%, CheXNet 85.10%, Swin-T 84.47%, ConvNeXt-Large 85.24% RECORD).</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Modular Source Code (src/): model.py, dataset.py, train.py, test.py, test-4-model.py, predict.py, visualize_dataset.py, visualize_model.py, visualize_gradcam.py.</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Official Test Evaluation Reports: Evaluation metrics across all 25,596 test images for individual models and ensemble.</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Visualization Suite: 40 model-specific charts (10 per architecture) plus 3 dataset-level analysis figures.</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Grad-CAM Heatmap Cards: 10 visual explainability cards covering ConvNeXt-Large and Swin-T.</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4-Model Ensemble Evaluator: test-4-model.py script achieving 83.72% Mean Test AUC.</w:t>
            </w:r>
          </w:p>
          <w:p>
            <w:pPr>
              <w:spacing w:before="20" w:after="60" w:line="276" w:lineRule="auto"/>
              <w:ind w:left="360"/>
              <w:jc w:val="both"/>
            </w:pPr>
            <w:r>
              <w:rPr>
                <w:rFonts w:ascii="Calibri" w:hAnsi="Calibri"/>
                <w:b/>
                <w:color w:val="1E375A"/>
                <w:sz w:val="20"/>
              </w:rPr>
              <w:t xml:space="preserve">▪  </w:t>
            </w:r>
            <w:r>
              <w:rPr>
                <w:rFonts w:ascii="Calibri" w:hAnsi="Calibri"/>
                <w:color w:val="222222"/>
                <w:sz w:val="21"/>
              </w:rPr>
              <w:t>Comprehensive Documentation: 22-chapter reference book (info/book.md), GitHub README.md, user command cheat sheet, and this final Microsoft Word document (info/final-decommentation.docx).</w:t>
            </w:r>
          </w:p>
        </w:tc>
      </w:tr>
    </w:tbl>
    <w:p w:rsidR="00A45CBE" w:rsidRDefault="00A45CBE"/>
    <w:p w:rsidR="009D1297" w:rsidRDefault="009D1297">
      <w:pPr>
        <w:pStyle w:val="Heading1"/>
      </w:pPr>
    </w:p>
    <w:p w:rsidR="00A45CBE" w:rsidRDefault="004873B5">
      <w:pPr>
        <w:pStyle w:val="Heading1"/>
      </w:pPr>
      <w:r>
        <w:t>11. Work Plan and Timeline</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11.1 Project Execution Phases</w:t>
            </w:r>
          </w:p>
          <w:p>
            <w:pPr>
              <w:spacing w:before="40" w:after="100" w:line="276" w:lineRule="auto"/>
              <w:jc w:val="both"/>
            </w:pPr>
            <w:r>
              <w:rPr>
                <w:rFonts w:ascii="Calibri" w:hAnsi="Calibri"/>
                <w:color w:val="222222"/>
                <w:sz w:val="22"/>
              </w:rPr>
              <w:t>The project was executed across eight structured phases spanning setup, architecture engineering, multi-model GPU training, ensemble evaluation, XAI development, and documentation.</w:t>
            </w:r>
          </w:p>
        </w:tc>
      </w:tr>
    </w:tbl>
    <w:p w:rsidR="00A45CBE" w:rsidRDefault="00A45CBE"/>
    <w:p w:rsidR="00A45CBE" w:rsidRDefault="004873B5">
      <w:r>
        <w:rPr>
          <w:b/>
          <w:color w:val="1E375A"/>
        </w:rPr>
        <w:t>Suggested Work Plan</w:t>
      </w:r>
      <w:r>
        <w:rPr>
          <w:b/>
          <w:color w:val="1E375A"/>
        </w:rPr>
        <w:t xml:space="preserve"> Table</w:t>
      </w:r>
    </w:p>
    <w:tbl>
      <w:tblPr>
        <w:tblW w:w="0" w:type="auto"/>
        <w:jc w:val="center"/>
        <w:tblLayout w:type="fixed"/>
        <w:tblLook w:val="04A0" w:firstRow="1" w:lastRow="0" w:firstColumn="1" w:lastColumn="0" w:noHBand="0" w:noVBand="1"/>
      </w:tblPr>
      <w:tblGrid>
        <w:gridCol w:w="1152"/>
        <w:gridCol w:w="5328"/>
        <w:gridCol w:w="3168"/>
      </w:tblGrid>
      <w:tr w:rsidR="00A45CBE">
        <w:trPr>
          <w:jc w:val="center"/>
        </w:trPr>
        <w:tc>
          <w:tcPr>
            <w:tcW w:w="1152" w:type="dxa"/>
            <w:shd w:val="clear" w:color="auto" w:fill="DCE6F2"/>
            <w:tcMar>
              <w:top w:w="90" w:type="dxa"/>
              <w:left w:w="110" w:type="dxa"/>
              <w:bottom w:w="90" w:type="dxa"/>
              <w:right w:w="110" w:type="dxa"/>
            </w:tcMar>
          </w:tcPr>
          <w:p w:rsidR="00A45CBE" w:rsidRDefault="004873B5">
            <w:pPr>
              <w:jc w:val="center"/>
            </w:pPr>
            <w:r>
              <w:rPr>
                <w:b/>
                <w:color w:val="1E375A"/>
              </w:rPr>
              <w:t>No.</w:t>
            </w:r>
          </w:p>
        </w:tc>
        <w:tc>
          <w:tcPr>
            <w:tcW w:w="5328" w:type="dxa"/>
            <w:shd w:val="clear" w:color="auto" w:fill="DCE6F2"/>
            <w:tcMar>
              <w:top w:w="90" w:type="dxa"/>
              <w:left w:w="110" w:type="dxa"/>
              <w:bottom w:w="90" w:type="dxa"/>
              <w:right w:w="110" w:type="dxa"/>
            </w:tcMar>
          </w:tcPr>
          <w:p w:rsidR="00A45CBE" w:rsidRDefault="004873B5">
            <w:pPr>
              <w:jc w:val="center"/>
            </w:pPr>
            <w:r>
              <w:rPr>
                <w:b/>
                <w:color w:val="1E375A"/>
              </w:rPr>
              <w:t>Project Phase</w:t>
            </w:r>
          </w:p>
        </w:tc>
        <w:tc>
          <w:tcPr>
            <w:tcW w:w="3168" w:type="dxa"/>
            <w:shd w:val="clear" w:color="auto" w:fill="DCE6F2"/>
            <w:tcMar>
              <w:top w:w="90" w:type="dxa"/>
              <w:left w:w="110" w:type="dxa"/>
              <w:bottom w:w="90" w:type="dxa"/>
              <w:right w:w="110" w:type="dxa"/>
            </w:tcMar>
          </w:tcPr>
          <w:p w:rsidR="00A45CBE" w:rsidRDefault="004873B5">
            <w:pPr>
              <w:jc w:val="center"/>
            </w:pPr>
            <w:r>
              <w:rPr>
                <w:b/>
                <w:color w:val="1E375A"/>
              </w:rPr>
              <w:t>Planned Duration</w:t>
            </w:r>
          </w:p>
        </w:tc>
      </w:tr>
      <w:tr>
        <w:tc>
          <w:tcPr>
            <w:tcW w:type="dxa" w:w="1152"/>
            <w:shd w:val="clear" w:color="auto" w:fill="FFFFFF"/>
          </w:tcPr>
          <w:p>
            <w:pPr>
              <w:jc w:val="center"/>
            </w:pPr>
            <w:r>
              <w:rPr>
                <w:rFonts w:ascii="Calibri" w:hAnsi="Calibri"/>
                <w:color w:val="222222"/>
                <w:sz w:val="19"/>
              </w:rPr>
              <w:t>1</w:t>
            </w:r>
          </w:p>
        </w:tc>
        <w:tc>
          <w:tcPr>
            <w:tcW w:type="dxa" w:w="5328"/>
            <w:shd w:val="clear" w:color="auto" w:fill="FFFFFF"/>
          </w:tcPr>
          <w:p>
            <w:pPr>
              <w:jc w:val="left"/>
            </w:pPr>
            <w:r>
              <w:rPr>
                <w:rFonts w:ascii="Calibri" w:hAnsi="Calibri"/>
                <w:color w:val="222222"/>
                <w:sz w:val="19"/>
              </w:rPr>
              <w:t>Proposal &amp; Environment Setup</w:t>
              <w:br/>
              <w:t>(Setup PyTorch, CUDA, acquire NIH dataset, verify environment)</w:t>
            </w:r>
          </w:p>
        </w:tc>
        <w:tc>
          <w:tcPr>
            <w:tcW w:type="dxa" w:w="3168"/>
            <w:shd w:val="clear" w:color="auto" w:fill="FFFFFF"/>
          </w:tcPr>
          <w:p>
            <w:pPr>
              <w:jc w:val="center"/>
            </w:pPr>
            <w:r>
              <w:rPr>
                <w:rFonts w:ascii="Calibri" w:hAnsi="Calibri"/>
                <w:color w:val="222222"/>
                <w:sz w:val="19"/>
              </w:rPr>
              <w:t>Week 1 (July 2026)</w:t>
            </w:r>
          </w:p>
        </w:tc>
      </w:tr>
      <w:tr>
        <w:tc>
          <w:tcPr>
            <w:tcW w:type="dxa" w:w="1152"/>
            <w:shd w:val="clear" w:color="auto" w:fill="F4F7FA"/>
          </w:tcPr>
          <w:p>
            <w:pPr>
              <w:jc w:val="center"/>
            </w:pPr>
            <w:r>
              <w:rPr>
                <w:rFonts w:ascii="Calibri" w:hAnsi="Calibri"/>
                <w:color w:val="222222"/>
                <w:sz w:val="19"/>
              </w:rPr>
              <w:t>2</w:t>
            </w:r>
          </w:p>
        </w:tc>
        <w:tc>
          <w:tcPr>
            <w:tcW w:type="dxa" w:w="5328"/>
            <w:shd w:val="clear" w:color="auto" w:fill="F4F7FA"/>
          </w:tcPr>
          <w:p>
            <w:pPr>
              <w:jc w:val="left"/>
            </w:pPr>
            <w:r>
              <w:rPr>
                <w:rFonts w:ascii="Calibri" w:hAnsi="Calibri"/>
                <w:color w:val="222222"/>
                <w:sz w:val="19"/>
              </w:rPr>
              <w:t>Literature Review &amp; Gap Analysis</w:t>
              <w:br/>
              <w:t>(Review Wang 2017, CheXNet 2017, Swin-T 2021, ConvNeXt 2022)</w:t>
            </w:r>
          </w:p>
        </w:tc>
        <w:tc>
          <w:tcPr>
            <w:tcW w:type="dxa" w:w="3168"/>
            <w:shd w:val="clear" w:color="auto" w:fill="F4F7FA"/>
          </w:tcPr>
          <w:p>
            <w:pPr>
              <w:jc w:val="center"/>
            </w:pPr>
            <w:r>
              <w:rPr>
                <w:rFonts w:ascii="Calibri" w:hAnsi="Calibri"/>
                <w:color w:val="222222"/>
                <w:sz w:val="19"/>
              </w:rPr>
              <w:t>Week 1–2 (July 2026)</w:t>
            </w:r>
          </w:p>
        </w:tc>
      </w:tr>
      <w:tr>
        <w:tc>
          <w:tcPr>
            <w:tcW w:type="dxa" w:w="1152"/>
            <w:shd w:val="clear" w:color="auto" w:fill="FFFFFF"/>
          </w:tcPr>
          <w:p>
            <w:pPr>
              <w:jc w:val="center"/>
            </w:pPr>
            <w:r>
              <w:rPr>
                <w:rFonts w:ascii="Calibri" w:hAnsi="Calibri"/>
                <w:color w:val="222222"/>
                <w:sz w:val="19"/>
              </w:rPr>
              <w:t>3</w:t>
            </w:r>
          </w:p>
        </w:tc>
        <w:tc>
          <w:tcPr>
            <w:tcW w:type="dxa" w:w="5328"/>
            <w:shd w:val="clear" w:color="auto" w:fill="FFFFFF"/>
          </w:tcPr>
          <w:p>
            <w:pPr>
              <w:jc w:val="left"/>
            </w:pPr>
            <w:r>
              <w:rPr>
                <w:rFonts w:ascii="Calibri" w:hAnsi="Calibri"/>
                <w:color w:val="222222"/>
                <w:sz w:val="19"/>
              </w:rPr>
              <w:t>System Design &amp; Pipeline Engineering</w:t>
              <w:br/>
              <w:t>(Implement dataset.py, model.py, patient splits, damped loss, AMP)</w:t>
            </w:r>
          </w:p>
        </w:tc>
        <w:tc>
          <w:tcPr>
            <w:tcW w:type="dxa" w:w="3168"/>
            <w:shd w:val="clear" w:color="auto" w:fill="FFFFFF"/>
          </w:tcPr>
          <w:p>
            <w:pPr>
              <w:jc w:val="center"/>
            </w:pPr>
            <w:r>
              <w:rPr>
                <w:rFonts w:ascii="Calibri" w:hAnsi="Calibri"/>
                <w:color w:val="222222"/>
                <w:sz w:val="19"/>
              </w:rPr>
              <w:t>Week 2 (July 2026)</w:t>
            </w:r>
          </w:p>
        </w:tc>
      </w:tr>
      <w:tr>
        <w:tc>
          <w:tcPr>
            <w:tcW w:type="dxa" w:w="1152"/>
            <w:shd w:val="clear" w:color="auto" w:fill="F4F7FA"/>
          </w:tcPr>
          <w:p>
            <w:pPr>
              <w:jc w:val="center"/>
            </w:pPr>
            <w:r>
              <w:rPr>
                <w:rFonts w:ascii="Calibri" w:hAnsi="Calibri"/>
                <w:color w:val="222222"/>
                <w:sz w:val="19"/>
              </w:rPr>
              <w:t>4</w:t>
            </w:r>
          </w:p>
        </w:tc>
        <w:tc>
          <w:tcPr>
            <w:tcW w:type="dxa" w:w="5328"/>
            <w:shd w:val="clear" w:color="auto" w:fill="F4F7FA"/>
          </w:tcPr>
          <w:p>
            <w:pPr>
              <w:jc w:val="left"/>
            </w:pPr>
            <w:r>
              <w:rPr>
                <w:rFonts w:ascii="Calibri" w:hAnsi="Calibri"/>
                <w:color w:val="222222"/>
                <w:sz w:val="19"/>
              </w:rPr>
              <w:t>Phase 1 Fine-Tuning (Small Models)</w:t>
              <w:br/>
              <w:t>(Train DenseNet-121 (4.9h) &amp; CheXNet (18.5h) on GPU)</w:t>
            </w:r>
          </w:p>
        </w:tc>
        <w:tc>
          <w:tcPr>
            <w:tcW w:type="dxa" w:w="3168"/>
            <w:shd w:val="clear" w:color="auto" w:fill="F4F7FA"/>
          </w:tcPr>
          <w:p>
            <w:pPr>
              <w:jc w:val="center"/>
            </w:pPr>
            <w:r>
              <w:rPr>
                <w:rFonts w:ascii="Calibri" w:hAnsi="Calibri"/>
                <w:color w:val="222222"/>
                <w:sz w:val="19"/>
              </w:rPr>
              <w:t>July 18–22, 2026</w:t>
            </w:r>
          </w:p>
        </w:tc>
      </w:tr>
      <w:tr>
        <w:tc>
          <w:tcPr>
            <w:tcW w:type="dxa" w:w="1152"/>
            <w:shd w:val="clear" w:color="auto" w:fill="FFFFFF"/>
          </w:tcPr>
          <w:p>
            <w:pPr>
              <w:jc w:val="center"/>
            </w:pPr>
            <w:r>
              <w:rPr>
                <w:rFonts w:ascii="Calibri" w:hAnsi="Calibri"/>
                <w:color w:val="222222"/>
                <w:sz w:val="19"/>
              </w:rPr>
              <w:t>5</w:t>
            </w:r>
          </w:p>
        </w:tc>
        <w:tc>
          <w:tcPr>
            <w:tcW w:type="dxa" w:w="5328"/>
            <w:shd w:val="clear" w:color="auto" w:fill="FFFFFF"/>
          </w:tcPr>
          <w:p>
            <w:pPr>
              <w:jc w:val="left"/>
            </w:pPr>
            <w:r>
              <w:rPr>
                <w:rFonts w:ascii="Calibri" w:hAnsi="Calibri"/>
                <w:color w:val="222222"/>
                <w:sz w:val="19"/>
              </w:rPr>
              <w:t>Phase 2 Fine-Tuning (Large Models)</w:t>
              <w:br/>
              <w:t>(Train Swin-T (8.9h) &amp; ConvNeXt-Large (39.8h) — #1 Record)</w:t>
            </w:r>
          </w:p>
        </w:tc>
        <w:tc>
          <w:tcPr>
            <w:tcW w:type="dxa" w:w="3168"/>
            <w:shd w:val="clear" w:color="auto" w:fill="FFFFFF"/>
          </w:tcPr>
          <w:p>
            <w:pPr>
              <w:jc w:val="center"/>
            </w:pPr>
            <w:r>
              <w:rPr>
                <w:rFonts w:ascii="Calibri" w:hAnsi="Calibri"/>
                <w:color w:val="222222"/>
                <w:sz w:val="19"/>
              </w:rPr>
              <w:t>July 24–27, 2026</w:t>
            </w:r>
          </w:p>
        </w:tc>
      </w:tr>
      <w:tr>
        <w:tc>
          <w:tcPr>
            <w:tcW w:type="dxa" w:w="1152"/>
            <w:shd w:val="clear" w:color="auto" w:fill="F4F7FA"/>
          </w:tcPr>
          <w:p>
            <w:pPr>
              <w:jc w:val="center"/>
            </w:pPr>
            <w:r>
              <w:rPr>
                <w:rFonts w:ascii="Calibri" w:hAnsi="Calibri"/>
                <w:color w:val="222222"/>
                <w:sz w:val="19"/>
              </w:rPr>
              <w:t>6</w:t>
            </w:r>
          </w:p>
        </w:tc>
        <w:tc>
          <w:tcPr>
            <w:tcW w:type="dxa" w:w="5328"/>
            <w:shd w:val="clear" w:color="auto" w:fill="F4F7FA"/>
          </w:tcPr>
          <w:p>
            <w:pPr>
              <w:jc w:val="left"/>
            </w:pPr>
            <w:r>
              <w:rPr>
                <w:rFonts w:ascii="Calibri" w:hAnsi="Calibri"/>
                <w:color w:val="222222"/>
                <w:sz w:val="19"/>
              </w:rPr>
              <w:t>Ensemble Evaluation &amp; TTA</w:t>
              <w:br/>
              <w:t>(Execute 4-Model Soft-Voting Ensemble on 25,596 test scans)</w:t>
            </w:r>
          </w:p>
        </w:tc>
        <w:tc>
          <w:tcPr>
            <w:tcW w:type="dxa" w:w="3168"/>
            <w:shd w:val="clear" w:color="auto" w:fill="F4F7FA"/>
          </w:tcPr>
          <w:p>
            <w:pPr>
              <w:jc w:val="center"/>
            </w:pPr>
            <w:r>
              <w:rPr>
                <w:rFonts w:ascii="Calibri" w:hAnsi="Calibri"/>
                <w:color w:val="222222"/>
                <w:sz w:val="19"/>
              </w:rPr>
              <w:t>July 27, 2026</w:t>
            </w:r>
          </w:p>
        </w:tc>
      </w:tr>
      <w:tr>
        <w:tc>
          <w:tcPr>
            <w:tcW w:type="dxa" w:w="1152"/>
            <w:shd w:val="clear" w:color="auto" w:fill="FFFFFF"/>
          </w:tcPr>
          <w:p>
            <w:pPr>
              <w:jc w:val="center"/>
            </w:pPr>
            <w:r>
              <w:rPr>
                <w:rFonts w:ascii="Calibri" w:hAnsi="Calibri"/>
                <w:color w:val="222222"/>
                <w:sz w:val="19"/>
              </w:rPr>
              <w:t>7</w:t>
            </w:r>
          </w:p>
        </w:tc>
        <w:tc>
          <w:tcPr>
            <w:tcW w:type="dxa" w:w="5328"/>
            <w:shd w:val="clear" w:color="auto" w:fill="FFFFFF"/>
          </w:tcPr>
          <w:p>
            <w:pPr>
              <w:jc w:val="left"/>
            </w:pPr>
            <w:r>
              <w:rPr>
                <w:rFonts w:ascii="Calibri" w:hAnsi="Calibri"/>
                <w:color w:val="222222"/>
                <w:sz w:val="19"/>
              </w:rPr>
              <w:t>Grad-CAM XAI &amp; Visualizations</w:t>
              <w:br/>
              <w:t>(Develop Grad-CAM engine, tensor fix, generate 40 charts + 10 cards)</w:t>
            </w:r>
          </w:p>
        </w:tc>
        <w:tc>
          <w:tcPr>
            <w:tcW w:type="dxa" w:w="3168"/>
            <w:shd w:val="clear" w:color="auto" w:fill="FFFFFF"/>
          </w:tcPr>
          <w:p>
            <w:pPr>
              <w:jc w:val="center"/>
            </w:pPr>
            <w:r>
              <w:rPr>
                <w:rFonts w:ascii="Calibri" w:hAnsi="Calibri"/>
                <w:color w:val="222222"/>
                <w:sz w:val="19"/>
              </w:rPr>
              <w:t>July 25–27, 2026</w:t>
            </w:r>
          </w:p>
        </w:tc>
      </w:tr>
      <w:tr>
        <w:tc>
          <w:tcPr>
            <w:tcW w:type="dxa" w:w="1152"/>
            <w:shd w:val="clear" w:color="auto" w:fill="F4F7FA"/>
          </w:tcPr>
          <w:p>
            <w:pPr>
              <w:jc w:val="center"/>
            </w:pPr>
            <w:r>
              <w:rPr>
                <w:rFonts w:ascii="Calibri" w:hAnsi="Calibri"/>
                <w:color w:val="222222"/>
                <w:sz w:val="19"/>
              </w:rPr>
              <w:t>8</w:t>
            </w:r>
          </w:p>
        </w:tc>
        <w:tc>
          <w:tcPr>
            <w:tcW w:type="dxa" w:w="5328"/>
            <w:shd w:val="clear" w:color="auto" w:fill="F4F7FA"/>
          </w:tcPr>
          <w:p>
            <w:pPr>
              <w:jc w:val="left"/>
            </w:pPr>
            <w:r>
              <w:rPr>
                <w:rFonts w:ascii="Calibri" w:hAnsi="Calibri"/>
                <w:color w:val="222222"/>
                <w:sz w:val="19"/>
              </w:rPr>
              <w:t>GitHub Deployment &amp; Final Documentation</w:t>
              <w:br/>
              <w:t>(Push to GitHub repo, write info/book.md, README, and final docx)</w:t>
            </w:r>
          </w:p>
        </w:tc>
        <w:tc>
          <w:tcPr>
            <w:tcW w:type="dxa" w:w="3168"/>
            <w:shd w:val="clear" w:color="auto" w:fill="F4F7FA"/>
          </w:tcPr>
          <w:p>
            <w:pPr>
              <w:jc w:val="center"/>
            </w:pPr>
            <w:r>
              <w:rPr>
                <w:rFonts w:ascii="Calibri" w:hAnsi="Calibri"/>
                <w:color w:val="222222"/>
                <w:sz w:val="19"/>
              </w:rPr>
              <w:t>July 22–28, 2026</w:t>
            </w:r>
          </w:p>
        </w:tc>
      </w:tr>
    </w:tbl>
    <w:p w:rsidR="00A45CBE" w:rsidRDefault="00A45CBE"/>
    <w:p w:rsidR="00A45CBE" w:rsidRDefault="009D1297">
      <w:pPr>
        <w:pStyle w:val="Heading1"/>
      </w:pPr>
      <w:r>
        <w:t>12</w:t>
      </w:r>
      <w:r w:rsidR="004873B5">
        <w:t>. Conclusion</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12.1 Master Single-Model Validation AUC Benchmark</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1E375A"/>
                </w:tcPr>
                <w:p>
                  <w:pPr>
                    <w:jc w:val="center"/>
                  </w:pPr>
                  <w:r>
                    <w:rPr>
                      <w:rFonts w:ascii="Calibri" w:hAnsi="Calibri"/>
                      <w:b/>
                      <w:color w:val="FFFFFF"/>
                      <w:sz w:val="19"/>
                    </w:rPr>
                    <w:t>Rank</w:t>
                  </w:r>
                </w:p>
              </w:tc>
              <w:tc>
                <w:tcPr>
                  <w:tcW w:type="dxa" w:w="1378"/>
                  <w:shd w:val="clear" w:color="auto" w:fill="1E375A"/>
                </w:tcPr>
                <w:p>
                  <w:pPr>
                    <w:jc w:val="center"/>
                  </w:pPr>
                  <w:r>
                    <w:rPr>
                      <w:rFonts w:ascii="Calibri" w:hAnsi="Calibri"/>
                      <w:b/>
                      <w:color w:val="FFFFFF"/>
                      <w:sz w:val="19"/>
                    </w:rPr>
                    <w:t>Model Architecture</w:t>
                  </w:r>
                </w:p>
              </w:tc>
              <w:tc>
                <w:tcPr>
                  <w:tcW w:type="dxa" w:w="1378"/>
                  <w:shd w:val="clear" w:color="auto" w:fill="1E375A"/>
                </w:tcPr>
                <w:p>
                  <w:pPr>
                    <w:jc w:val="center"/>
                  </w:pPr>
                  <w:r>
                    <w:rPr>
                      <w:rFonts w:ascii="Calibri" w:hAnsi="Calibri"/>
                      <w:b/>
                      <w:color w:val="FFFFFF"/>
                      <w:sz w:val="19"/>
                    </w:rPr>
                    <w:t>Parameters</w:t>
                  </w:r>
                </w:p>
              </w:tc>
              <w:tc>
                <w:tcPr>
                  <w:tcW w:type="dxa" w:w="1378"/>
                  <w:shd w:val="clear" w:color="auto" w:fill="1E375A"/>
                </w:tcPr>
                <w:p>
                  <w:pPr>
                    <w:jc w:val="center"/>
                  </w:pPr>
                  <w:r>
                    <w:rPr>
                      <w:rFonts w:ascii="Calibri" w:hAnsi="Calibri"/>
                      <w:b/>
                      <w:color w:val="FFFFFF"/>
                      <w:sz w:val="19"/>
                    </w:rPr>
                    <w:t>Resolution</w:t>
                  </w:r>
                </w:p>
              </w:tc>
              <w:tc>
                <w:tcPr>
                  <w:tcW w:type="dxa" w:w="1378"/>
                  <w:shd w:val="clear" w:color="auto" w:fill="1E375A"/>
                </w:tcPr>
                <w:p>
                  <w:pPr>
                    <w:jc w:val="center"/>
                  </w:pPr>
                  <w:r>
                    <w:rPr>
                      <w:rFonts w:ascii="Calibri" w:hAnsi="Calibri"/>
                      <w:b/>
                      <w:color w:val="FFFFFF"/>
                      <w:sz w:val="19"/>
                    </w:rPr>
                    <w:t>Peak Val AUC</w:t>
                  </w:r>
                </w:p>
              </w:tc>
              <w:tc>
                <w:tcPr>
                  <w:tcW w:type="dxa" w:w="1378"/>
                  <w:shd w:val="clear" w:color="auto" w:fill="1E375A"/>
                </w:tcPr>
                <w:p>
                  <w:pPr>
                    <w:jc w:val="center"/>
                  </w:pPr>
                  <w:r>
                    <w:rPr>
                      <w:rFonts w:ascii="Calibri" w:hAnsi="Calibri"/>
                      <w:b/>
                      <w:color w:val="FFFFFF"/>
                      <w:sz w:val="19"/>
                    </w:rPr>
                    <w:t>Best Epoch</w:t>
                  </w:r>
                </w:p>
              </w:tc>
              <w:tc>
                <w:tcPr>
                  <w:tcW w:type="dxa" w:w="1378"/>
                  <w:shd w:val="clear" w:color="auto" w:fill="1E375A"/>
                </w:tcPr>
                <w:p>
                  <w:pPr>
                    <w:jc w:val="center"/>
                  </w:pPr>
                  <w:r>
                    <w:rPr>
                      <w:rFonts w:ascii="Calibri" w:hAnsi="Calibri"/>
                      <w:b/>
                      <w:color w:val="FFFFFF"/>
                      <w:sz w:val="19"/>
                    </w:rPr>
                    <w:t>Training Time</w:t>
                  </w:r>
                </w:p>
              </w:tc>
            </w:tr>
            <w:tr>
              <w:tc>
                <w:tcPr>
                  <w:tcW w:type="dxa" w:w="1378"/>
                  <w:shd w:val="clear" w:color="auto" w:fill="FFFFFF"/>
                </w:tcPr>
                <w:p>
                  <w:pPr>
                    <w:jc w:val="center"/>
                  </w:pPr>
                  <w:r>
                    <w:rPr>
                      <w:rFonts w:ascii="Calibri" w:hAnsi="Calibri"/>
                      <w:color w:val="222222"/>
                      <w:sz w:val="19"/>
                    </w:rPr>
                    <w:t>🥇 #1</w:t>
                  </w:r>
                </w:p>
              </w:tc>
              <w:tc>
                <w:tcPr>
                  <w:tcW w:type="dxa" w:w="1378"/>
                  <w:shd w:val="clear" w:color="auto" w:fill="FFFFFF"/>
                </w:tcPr>
                <w:p>
                  <w:pPr>
                    <w:jc w:val="center"/>
                  </w:pPr>
                  <w:r>
                    <w:rPr>
                      <w:rFonts w:ascii="Calibri" w:hAnsi="Calibri"/>
                      <w:color w:val="222222"/>
                      <w:sz w:val="19"/>
                    </w:rPr>
                    <w:t>ConvNeXt-Large</w:t>
                  </w:r>
                </w:p>
              </w:tc>
              <w:tc>
                <w:tcPr>
                  <w:tcW w:type="dxa" w:w="1378"/>
                  <w:shd w:val="clear" w:color="auto" w:fill="FFFFFF"/>
                </w:tcPr>
                <w:p>
                  <w:pPr>
                    <w:jc w:val="center"/>
                  </w:pPr>
                  <w:r>
                    <w:rPr>
                      <w:rFonts w:ascii="Calibri" w:hAnsi="Calibri"/>
                      <w:color w:val="222222"/>
                      <w:sz w:val="19"/>
                    </w:rPr>
                    <w:t>~198.0M</w:t>
                  </w:r>
                </w:p>
              </w:tc>
              <w:tc>
                <w:tcPr>
                  <w:tcW w:type="dxa" w:w="1378"/>
                  <w:shd w:val="clear" w:color="auto" w:fill="FFFFFF"/>
                </w:tcPr>
                <w:p>
                  <w:pPr>
                    <w:jc w:val="center"/>
                  </w:pPr>
                  <w:r>
                    <w:rPr>
                      <w:rFonts w:ascii="Calibri" w:hAnsi="Calibri"/>
                      <w:color w:val="222222"/>
                      <w:sz w:val="19"/>
                    </w:rPr>
                    <w:t>448 × 448 px</w:t>
                  </w:r>
                </w:p>
              </w:tc>
              <w:tc>
                <w:tcPr>
                  <w:tcW w:type="dxa" w:w="1378"/>
                  <w:shd w:val="clear" w:color="auto" w:fill="FFFFFF"/>
                </w:tcPr>
                <w:p>
                  <w:pPr>
                    <w:jc w:val="center"/>
                  </w:pPr>
                  <w:r>
                    <w:rPr>
                      <w:rFonts w:ascii="Calibri" w:hAnsi="Calibri"/>
                      <w:color w:val="222222"/>
                      <w:sz w:val="19"/>
                    </w:rPr>
                    <w:t>85.24% (NEW RECORD)</w:t>
                  </w:r>
                </w:p>
              </w:tc>
              <w:tc>
                <w:tcPr>
                  <w:tcW w:type="dxa" w:w="1378"/>
                  <w:shd w:val="clear" w:color="auto" w:fill="FFFFFF"/>
                </w:tcPr>
                <w:p>
                  <w:pPr>
                    <w:jc w:val="center"/>
                  </w:pPr>
                  <w:r>
                    <w:rPr>
                      <w:rFonts w:ascii="Calibri" w:hAnsi="Calibri"/>
                      <w:color w:val="222222"/>
                      <w:sz w:val="19"/>
                    </w:rPr>
                    <w:t>Epoch 8</w:t>
                  </w:r>
                </w:p>
              </w:tc>
              <w:tc>
                <w:tcPr>
                  <w:tcW w:type="dxa" w:w="1378"/>
                  <w:shd w:val="clear" w:color="auto" w:fill="FFFFFF"/>
                </w:tcPr>
                <w:p>
                  <w:pPr>
                    <w:jc w:val="center"/>
                  </w:pPr>
                  <w:r>
                    <w:rPr>
                      <w:rFonts w:ascii="Calibri" w:hAnsi="Calibri"/>
                      <w:color w:val="222222"/>
                      <w:sz w:val="19"/>
                    </w:rPr>
                    <w:t>39h 50m</w:t>
                  </w:r>
                </w:p>
              </w:tc>
            </w:tr>
            <w:tr>
              <w:tc>
                <w:tcPr>
                  <w:tcW w:type="dxa" w:w="1378"/>
                  <w:shd w:val="clear" w:color="auto" w:fill="F4F7FA"/>
                </w:tcPr>
                <w:p>
                  <w:pPr>
                    <w:jc w:val="center"/>
                  </w:pPr>
                  <w:r>
                    <w:rPr>
                      <w:rFonts w:ascii="Calibri" w:hAnsi="Calibri"/>
                      <w:color w:val="222222"/>
                      <w:sz w:val="19"/>
                    </w:rPr>
                    <w:t>🥈 #2</w:t>
                  </w:r>
                </w:p>
              </w:tc>
              <w:tc>
                <w:tcPr>
                  <w:tcW w:type="dxa" w:w="1378"/>
                  <w:shd w:val="clear" w:color="auto" w:fill="F4F7FA"/>
                </w:tcPr>
                <w:p>
                  <w:pPr>
                    <w:jc w:val="center"/>
                  </w:pPr>
                  <w:r>
                    <w:rPr>
                      <w:rFonts w:ascii="Calibri" w:hAnsi="Calibri"/>
                      <w:color w:val="222222"/>
                      <w:sz w:val="19"/>
                    </w:rPr>
                    <w:t>CheXNet (NIH Pre-trained)</w:t>
                  </w:r>
                </w:p>
              </w:tc>
              <w:tc>
                <w:tcPr>
                  <w:tcW w:type="dxa" w:w="1378"/>
                  <w:shd w:val="clear" w:color="auto" w:fill="F4F7FA"/>
                </w:tcPr>
                <w:p>
                  <w:pPr>
                    <w:jc w:val="center"/>
                  </w:pPr>
                  <w:r>
                    <w:rPr>
                      <w:rFonts w:ascii="Calibri" w:hAnsi="Calibri"/>
                      <w:color w:val="222222"/>
                      <w:sz w:val="19"/>
                    </w:rPr>
                    <w:t>~7.0M</w:t>
                  </w:r>
                </w:p>
              </w:tc>
              <w:tc>
                <w:tcPr>
                  <w:tcW w:type="dxa" w:w="1378"/>
                  <w:shd w:val="clear" w:color="auto" w:fill="F4F7FA"/>
                </w:tcPr>
                <w:p>
                  <w:pPr>
                    <w:jc w:val="center"/>
                  </w:pPr>
                  <w:r>
                    <w:rPr>
                      <w:rFonts w:ascii="Calibri" w:hAnsi="Calibri"/>
                      <w:color w:val="222222"/>
                      <w:sz w:val="19"/>
                    </w:rPr>
                    <w:t>448 × 448 px</w:t>
                  </w:r>
                </w:p>
              </w:tc>
              <w:tc>
                <w:tcPr>
                  <w:tcW w:type="dxa" w:w="1378"/>
                  <w:shd w:val="clear" w:color="auto" w:fill="F4F7FA"/>
                </w:tcPr>
                <w:p>
                  <w:pPr>
                    <w:jc w:val="center"/>
                  </w:pPr>
                  <w:r>
                    <w:rPr>
                      <w:rFonts w:ascii="Calibri" w:hAnsi="Calibri"/>
                      <w:color w:val="222222"/>
                      <w:sz w:val="19"/>
                    </w:rPr>
                    <w:t>85.10%</w:t>
                  </w:r>
                </w:p>
              </w:tc>
              <w:tc>
                <w:tcPr>
                  <w:tcW w:type="dxa" w:w="1378"/>
                  <w:shd w:val="clear" w:color="auto" w:fill="F4F7FA"/>
                </w:tcPr>
                <w:p>
                  <w:pPr>
                    <w:jc w:val="center"/>
                  </w:pPr>
                  <w:r>
                    <w:rPr>
                      <w:rFonts w:ascii="Calibri" w:hAnsi="Calibri"/>
                      <w:color w:val="222222"/>
                      <w:sz w:val="19"/>
                    </w:rPr>
                    <w:t>Epoch 11</w:t>
                  </w:r>
                </w:p>
              </w:tc>
              <w:tc>
                <w:tcPr>
                  <w:tcW w:type="dxa" w:w="1378"/>
                  <w:shd w:val="clear" w:color="auto" w:fill="F4F7FA"/>
                </w:tcPr>
                <w:p>
                  <w:pPr>
                    <w:jc w:val="center"/>
                  </w:pPr>
                  <w:r>
                    <w:rPr>
                      <w:rFonts w:ascii="Calibri" w:hAnsi="Calibri"/>
                      <w:color w:val="222222"/>
                      <w:sz w:val="19"/>
                    </w:rPr>
                    <w:t>18h 28m</w:t>
                  </w:r>
                </w:p>
              </w:tc>
            </w:tr>
            <w:tr>
              <w:tc>
                <w:tcPr>
                  <w:tcW w:type="dxa" w:w="1378"/>
                  <w:shd w:val="clear" w:color="auto" w:fill="FFFFFF"/>
                </w:tcPr>
                <w:p>
                  <w:pPr>
                    <w:jc w:val="center"/>
                  </w:pPr>
                  <w:r>
                    <w:rPr>
                      <w:rFonts w:ascii="Calibri" w:hAnsi="Calibri"/>
                      <w:color w:val="222222"/>
                      <w:sz w:val="19"/>
                    </w:rPr>
                    <w:t>🥉 #3</w:t>
                  </w:r>
                </w:p>
              </w:tc>
              <w:tc>
                <w:tcPr>
                  <w:tcW w:type="dxa" w:w="1378"/>
                  <w:shd w:val="clear" w:color="auto" w:fill="FFFFFF"/>
                </w:tcPr>
                <w:p>
                  <w:pPr>
                    <w:jc w:val="center"/>
                  </w:pPr>
                  <w:r>
                    <w:rPr>
                      <w:rFonts w:ascii="Calibri" w:hAnsi="Calibri"/>
                      <w:color w:val="222222"/>
                      <w:sz w:val="19"/>
                    </w:rPr>
                    <w:t>DenseNet-121 (Optimized)</w:t>
                  </w:r>
                </w:p>
              </w:tc>
              <w:tc>
                <w:tcPr>
                  <w:tcW w:type="dxa" w:w="1378"/>
                  <w:shd w:val="clear" w:color="auto" w:fill="FFFFFF"/>
                </w:tcPr>
                <w:p>
                  <w:pPr>
                    <w:jc w:val="center"/>
                  </w:pPr>
                  <w:r>
                    <w:rPr>
                      <w:rFonts w:ascii="Calibri" w:hAnsi="Calibri"/>
                      <w:color w:val="222222"/>
                      <w:sz w:val="19"/>
                    </w:rPr>
                    <w:t>~7.0M</w:t>
                  </w:r>
                </w:p>
              </w:tc>
              <w:tc>
                <w:tcPr>
                  <w:tcW w:type="dxa" w:w="1378"/>
                  <w:shd w:val="clear" w:color="auto" w:fill="FFFFFF"/>
                </w:tcPr>
                <w:p>
                  <w:pPr>
                    <w:jc w:val="center"/>
                  </w:pPr>
                  <w:r>
                    <w:rPr>
                      <w:rFonts w:ascii="Calibri" w:hAnsi="Calibri"/>
                      <w:color w:val="222222"/>
                      <w:sz w:val="19"/>
                    </w:rPr>
                    <w:t>448 × 448 px</w:t>
                  </w:r>
                </w:p>
              </w:tc>
              <w:tc>
                <w:tcPr>
                  <w:tcW w:type="dxa" w:w="1378"/>
                  <w:shd w:val="clear" w:color="auto" w:fill="FFFFFF"/>
                </w:tcPr>
                <w:p>
                  <w:pPr>
                    <w:jc w:val="center"/>
                  </w:pPr>
                  <w:r>
                    <w:rPr>
                      <w:rFonts w:ascii="Calibri" w:hAnsi="Calibri"/>
                      <w:color w:val="222222"/>
                      <w:sz w:val="19"/>
                    </w:rPr>
                    <w:t>84.75%</w:t>
                  </w:r>
                </w:p>
              </w:tc>
              <w:tc>
                <w:tcPr>
                  <w:tcW w:type="dxa" w:w="1378"/>
                  <w:shd w:val="clear" w:color="auto" w:fill="FFFFFF"/>
                </w:tcPr>
                <w:p>
                  <w:pPr>
                    <w:jc w:val="center"/>
                  </w:pPr>
                  <w:r>
                    <w:rPr>
                      <w:rFonts w:ascii="Calibri" w:hAnsi="Calibri"/>
                      <w:color w:val="222222"/>
                      <w:sz w:val="19"/>
                    </w:rPr>
                    <w:t>Epoch 13</w:t>
                  </w:r>
                </w:p>
              </w:tc>
              <w:tc>
                <w:tcPr>
                  <w:tcW w:type="dxa" w:w="1378"/>
                  <w:shd w:val="clear" w:color="auto" w:fill="FFFFFF"/>
                </w:tcPr>
                <w:p>
                  <w:pPr>
                    <w:jc w:val="center"/>
                  </w:pPr>
                  <w:r>
                    <w:rPr>
                      <w:rFonts w:ascii="Calibri" w:hAnsi="Calibri"/>
                      <w:color w:val="222222"/>
                      <w:sz w:val="19"/>
                    </w:rPr>
                    <w:t>4h 57m</w:t>
                  </w:r>
                </w:p>
              </w:tc>
            </w:tr>
            <w:tr>
              <w:tc>
                <w:tcPr>
                  <w:tcW w:type="dxa" w:w="1378"/>
                  <w:shd w:val="clear" w:color="auto" w:fill="F4F7FA"/>
                </w:tcPr>
                <w:p>
                  <w:pPr>
                    <w:jc w:val="center"/>
                  </w:pPr>
                  <w:r>
                    <w:rPr>
                      <w:rFonts w:ascii="Calibri" w:hAnsi="Calibri"/>
                      <w:color w:val="222222"/>
                      <w:sz w:val="19"/>
                    </w:rPr>
                    <w:t>🏅 #4</w:t>
                  </w:r>
                </w:p>
              </w:tc>
              <w:tc>
                <w:tcPr>
                  <w:tcW w:type="dxa" w:w="1378"/>
                  <w:shd w:val="clear" w:color="auto" w:fill="F4F7FA"/>
                </w:tcPr>
                <w:p>
                  <w:pPr>
                    <w:jc w:val="center"/>
                  </w:pPr>
                  <w:r>
                    <w:rPr>
                      <w:rFonts w:ascii="Calibri" w:hAnsi="Calibri"/>
                      <w:color w:val="222222"/>
                      <w:sz w:val="19"/>
                    </w:rPr>
                    <w:t>Swin-T Transformer</w:t>
                  </w:r>
                </w:p>
              </w:tc>
              <w:tc>
                <w:tcPr>
                  <w:tcW w:type="dxa" w:w="1378"/>
                  <w:shd w:val="clear" w:color="auto" w:fill="F4F7FA"/>
                </w:tcPr>
                <w:p>
                  <w:pPr>
                    <w:jc w:val="center"/>
                  </w:pPr>
                  <w:r>
                    <w:rPr>
                      <w:rFonts w:ascii="Calibri" w:hAnsi="Calibri"/>
                      <w:color w:val="222222"/>
                      <w:sz w:val="19"/>
                    </w:rPr>
                    <w:t>~28.0M</w:t>
                  </w:r>
                </w:p>
              </w:tc>
              <w:tc>
                <w:tcPr>
                  <w:tcW w:type="dxa" w:w="1378"/>
                  <w:shd w:val="clear" w:color="auto" w:fill="F4F7FA"/>
                </w:tcPr>
                <w:p>
                  <w:pPr>
                    <w:jc w:val="center"/>
                  </w:pPr>
                  <w:r>
                    <w:rPr>
                      <w:rFonts w:ascii="Calibri" w:hAnsi="Calibri"/>
                      <w:color w:val="222222"/>
                      <w:sz w:val="19"/>
                    </w:rPr>
                    <w:t>448 × 448 px</w:t>
                  </w:r>
                </w:p>
              </w:tc>
              <w:tc>
                <w:tcPr>
                  <w:tcW w:type="dxa" w:w="1378"/>
                  <w:shd w:val="clear" w:color="auto" w:fill="F4F7FA"/>
                </w:tcPr>
                <w:p>
                  <w:pPr>
                    <w:jc w:val="center"/>
                  </w:pPr>
                  <w:r>
                    <w:rPr>
                      <w:rFonts w:ascii="Calibri" w:hAnsi="Calibri"/>
                      <w:color w:val="222222"/>
                      <w:sz w:val="19"/>
                    </w:rPr>
                    <w:t>84.47%</w:t>
                  </w:r>
                </w:p>
              </w:tc>
              <w:tc>
                <w:tcPr>
                  <w:tcW w:type="dxa" w:w="1378"/>
                  <w:shd w:val="clear" w:color="auto" w:fill="F4F7FA"/>
                </w:tcPr>
                <w:p>
                  <w:pPr>
                    <w:jc w:val="center"/>
                  </w:pPr>
                  <w:r>
                    <w:rPr>
                      <w:rFonts w:ascii="Calibri" w:hAnsi="Calibri"/>
                      <w:color w:val="222222"/>
                      <w:sz w:val="19"/>
                    </w:rPr>
                    <w:t>Epoch 14</w:t>
                  </w:r>
                </w:p>
              </w:tc>
              <w:tc>
                <w:tcPr>
                  <w:tcW w:type="dxa" w:w="1378"/>
                  <w:shd w:val="clear" w:color="auto" w:fill="F4F7FA"/>
                </w:tcPr>
                <w:p>
                  <w:pPr>
                    <w:jc w:val="center"/>
                  </w:pPr>
                  <w:r>
                    <w:rPr>
                      <w:rFonts w:ascii="Calibri" w:hAnsi="Calibri"/>
                      <w:color w:val="222222"/>
                      <w:sz w:val="19"/>
                    </w:rPr>
                    <w:t>8h 56m</w:t>
                  </w:r>
                </w:p>
              </w:tc>
            </w:tr>
            <w:tr>
              <w:tc>
                <w:tcPr>
                  <w:tcW w:type="dxa" w:w="1378"/>
                  <w:shd w:val="clear" w:color="auto" w:fill="FFFFFF"/>
                </w:tcPr>
                <w:p>
                  <w:pPr>
                    <w:jc w:val="center"/>
                  </w:pPr>
                  <w:r>
                    <w:rPr>
                      <w:rFonts w:ascii="Calibri" w:hAnsi="Calibri"/>
                      <w:color w:val="222222"/>
                      <w:sz w:val="19"/>
                    </w:rPr>
                    <w:t>Ref.</w:t>
                  </w:r>
                </w:p>
              </w:tc>
              <w:tc>
                <w:tcPr>
                  <w:tcW w:type="dxa" w:w="1378"/>
                  <w:shd w:val="clear" w:color="auto" w:fill="FFFFFF"/>
                </w:tcPr>
                <w:p>
                  <w:pPr>
                    <w:jc w:val="center"/>
                  </w:pPr>
                  <w:r>
                    <w:rPr>
                      <w:rFonts w:ascii="Calibri" w:hAnsi="Calibri"/>
                      <w:color w:val="222222"/>
                      <w:sz w:val="19"/>
                    </w:rPr>
                    <w:t>Stanford CheXNet (2017)</w:t>
                  </w:r>
                </w:p>
              </w:tc>
              <w:tc>
                <w:tcPr>
                  <w:tcW w:type="dxa" w:w="1378"/>
                  <w:shd w:val="clear" w:color="auto" w:fill="FFFFFF"/>
                </w:tcPr>
                <w:p>
                  <w:pPr>
                    <w:jc w:val="center"/>
                  </w:pPr>
                  <w:r>
                    <w:rPr>
                      <w:rFonts w:ascii="Calibri" w:hAnsi="Calibri"/>
                      <w:color w:val="222222"/>
                      <w:sz w:val="19"/>
                    </w:rPr>
                    <w:t>~7.0M</w:t>
                  </w:r>
                </w:p>
              </w:tc>
              <w:tc>
                <w:tcPr>
                  <w:tcW w:type="dxa" w:w="1378"/>
                  <w:shd w:val="clear" w:color="auto" w:fill="FFFFFF"/>
                </w:tcPr>
                <w:p>
                  <w:pPr>
                    <w:jc w:val="center"/>
                  </w:pPr>
                  <w:r>
                    <w:rPr>
                      <w:rFonts w:ascii="Calibri" w:hAnsi="Calibri"/>
                      <w:color w:val="222222"/>
                      <w:sz w:val="19"/>
                    </w:rPr>
                    <w:t>224 × 224 px</w:t>
                  </w:r>
                </w:p>
              </w:tc>
              <w:tc>
                <w:tcPr>
                  <w:tcW w:type="dxa" w:w="1378"/>
                  <w:shd w:val="clear" w:color="auto" w:fill="FFFFFF"/>
                </w:tcPr>
                <w:p>
                  <w:pPr>
                    <w:jc w:val="center"/>
                  </w:pPr>
                  <w:r>
                    <w:rPr>
                      <w:rFonts w:ascii="Calibri" w:hAnsi="Calibri"/>
                      <w:color w:val="222222"/>
                      <w:sz w:val="19"/>
                    </w:rPr>
                    <w:t>84.13% (PAPER)</w:t>
                  </w:r>
                </w:p>
              </w:tc>
              <w:tc>
                <w:tcPr>
                  <w:tcW w:type="dxa" w:w="1378"/>
                  <w:shd w:val="clear" w:color="auto" w:fill="FFFFFF"/>
                </w:tcPr>
                <w:p>
                  <w:pPr>
                    <w:jc w:val="center"/>
                  </w:pPr>
                  <w:r>
                    <w:rPr>
                      <w:rFonts w:ascii="Calibri" w:hAnsi="Calibri"/>
                      <w:color w:val="222222"/>
                      <w:sz w:val="19"/>
                    </w:rPr>
                    <w:t>—</w:t>
                  </w:r>
                </w:p>
              </w:tc>
              <w:tc>
                <w:tcPr>
                  <w:tcW w:type="dxa" w:w="1378"/>
                  <w:shd w:val="clear" w:color="auto" w:fill="FFFFFF"/>
                </w:tcPr>
                <w:p>
                  <w:pPr>
                    <w:jc w:val="center"/>
                  </w:pPr>
                  <w:r>
                    <w:rPr>
                      <w:rFonts w:ascii="Calibri" w:hAnsi="Calibri"/>
                      <w:color w:val="222222"/>
                      <w:sz w:val="19"/>
                    </w:rPr>
                    <w:t>—</w:t>
                  </w:r>
                </w:p>
              </w:tc>
            </w:tr>
            <w:tr>
              <w:tc>
                <w:tcPr>
                  <w:tcW w:type="dxa" w:w="1378"/>
                  <w:shd w:val="clear" w:color="auto" w:fill="F4F7FA"/>
                </w:tcPr>
                <w:p>
                  <w:pPr>
                    <w:jc w:val="center"/>
                  </w:pPr>
                  <w:r>
                    <w:rPr>
                      <w:rFonts w:ascii="Calibri" w:hAnsi="Calibri"/>
                      <w:color w:val="222222"/>
                      <w:sz w:val="19"/>
                    </w:rPr>
                    <w:t>Ref.</w:t>
                  </w:r>
                </w:p>
              </w:tc>
              <w:tc>
                <w:tcPr>
                  <w:tcW w:type="dxa" w:w="1378"/>
                  <w:shd w:val="clear" w:color="auto" w:fill="F4F7FA"/>
                </w:tcPr>
                <w:p>
                  <w:pPr>
                    <w:jc w:val="center"/>
                  </w:pPr>
                  <w:r>
                    <w:rPr>
                      <w:rFonts w:ascii="Calibri" w:hAnsi="Calibri"/>
                      <w:color w:val="222222"/>
                      <w:sz w:val="19"/>
                    </w:rPr>
                    <w:t>NIH Baseline (Wang et al.)</w:t>
                  </w:r>
                </w:p>
              </w:tc>
              <w:tc>
                <w:tcPr>
                  <w:tcW w:type="dxa" w:w="1378"/>
                  <w:shd w:val="clear" w:color="auto" w:fill="F4F7FA"/>
                </w:tcPr>
                <w:p>
                  <w:pPr>
                    <w:jc w:val="center"/>
                  </w:pPr>
                  <w:r>
                    <w:rPr>
                      <w:rFonts w:ascii="Calibri" w:hAnsi="Calibri"/>
                      <w:color w:val="222222"/>
                      <w:sz w:val="19"/>
                    </w:rPr>
                    <w:t>DenseNet-121</w:t>
                  </w:r>
                </w:p>
              </w:tc>
              <w:tc>
                <w:tcPr>
                  <w:tcW w:type="dxa" w:w="1378"/>
                  <w:shd w:val="clear" w:color="auto" w:fill="F4F7FA"/>
                </w:tcPr>
                <w:p>
                  <w:pPr>
                    <w:jc w:val="center"/>
                  </w:pPr>
                  <w:r>
                    <w:rPr>
                      <w:rFonts w:ascii="Calibri" w:hAnsi="Calibri"/>
                      <w:color w:val="222222"/>
                      <w:sz w:val="19"/>
                    </w:rPr>
                    <w:t>224 × 224 px</w:t>
                  </w:r>
                </w:p>
              </w:tc>
              <w:tc>
                <w:tcPr>
                  <w:tcW w:type="dxa" w:w="1378"/>
                  <w:shd w:val="clear" w:color="auto" w:fill="F4F7FA"/>
                </w:tcPr>
                <w:p>
                  <w:pPr>
                    <w:jc w:val="center"/>
                  </w:pPr>
                  <w:r>
                    <w:rPr>
                      <w:rFonts w:ascii="Calibri" w:hAnsi="Calibri"/>
                      <w:color w:val="222222"/>
                      <w:sz w:val="19"/>
                    </w:rPr>
                    <w:t>74.51% (PAPER)</w:t>
                  </w:r>
                </w:p>
              </w:tc>
              <w:tc>
                <w:tcPr>
                  <w:tcW w:type="dxa" w:w="1378"/>
                  <w:shd w:val="clear" w:color="auto" w:fill="F4F7FA"/>
                </w:tcPr>
                <w:p>
                  <w:pPr>
                    <w:jc w:val="center"/>
                  </w:pPr>
                  <w:r>
                    <w:rPr>
                      <w:rFonts w:ascii="Calibri" w:hAnsi="Calibri"/>
                      <w:color w:val="222222"/>
                      <w:sz w:val="19"/>
                    </w:rPr>
                    <w:t>—</w:t>
                  </w:r>
                </w:p>
              </w:tc>
              <w:tc>
                <w:tcPr>
                  <w:tcW w:type="dxa" w:w="1378"/>
                  <w:shd w:val="clear" w:color="auto" w:fill="F4F7FA"/>
                </w:tcPr>
                <w:p>
                  <w:pPr>
                    <w:jc w:val="center"/>
                  </w:pPr>
                  <w:r>
                    <w:rPr>
                      <w:rFonts w:ascii="Calibri" w:hAnsi="Calibri"/>
                      <w:color w:val="222222"/>
                      <w:sz w:val="19"/>
                    </w:rPr>
                    <w:t>—</w:t>
                  </w:r>
                </w:p>
              </w:tc>
            </w:tr>
          </w:tbl>
          <w:p/>
          <w:p>
            <w:pPr>
              <w:spacing w:before="0" w:after="80"/>
            </w:pPr>
          </w:p>
          <w:p>
            <w:pPr>
              <w:spacing w:before="160" w:after="60"/>
              <w:jc w:val="left"/>
            </w:pPr>
            <w:r>
              <w:rPr>
                <w:rFonts w:ascii="Calibri" w:hAnsi="Calibri"/>
                <w:b/>
                <w:color w:val="1E375A"/>
                <w:sz w:val="24"/>
              </w:rPr>
              <w:t>12.2 Official Test Set AUC-ROC Scores per Pathology (25,596 Scans)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1E375A"/>
                </w:tcPr>
                <w:p>
                  <w:pPr>
                    <w:jc w:val="center"/>
                  </w:pPr>
                  <w:r>
                    <w:rPr>
                      <w:rFonts w:ascii="Calibri" w:hAnsi="Calibri"/>
                      <w:b/>
                      <w:color w:val="FFFFFF"/>
                      <w:sz w:val="19"/>
                    </w:rPr>
                    <w:t>Pathology / Disease</w:t>
                  </w:r>
                </w:p>
              </w:tc>
              <w:tc>
                <w:tcPr>
                  <w:tcW w:type="dxa" w:w="1930"/>
                  <w:shd w:val="clear" w:color="auto" w:fill="1E375A"/>
                </w:tcPr>
                <w:p>
                  <w:pPr>
                    <w:jc w:val="center"/>
                  </w:pPr>
                  <w:r>
                    <w:rPr>
                      <w:rFonts w:ascii="Calibri" w:hAnsi="Calibri"/>
                      <w:b/>
                      <w:color w:val="FFFFFF"/>
                      <w:sz w:val="19"/>
                    </w:rPr>
                    <w:t>DenseNet-121</w:t>
                  </w:r>
                </w:p>
              </w:tc>
              <w:tc>
                <w:tcPr>
                  <w:tcW w:type="dxa" w:w="1930"/>
                  <w:shd w:val="clear" w:color="auto" w:fill="1E375A"/>
                </w:tcPr>
                <w:p>
                  <w:pPr>
                    <w:jc w:val="center"/>
                  </w:pPr>
                  <w:r>
                    <w:rPr>
                      <w:rFonts w:ascii="Calibri" w:hAnsi="Calibri"/>
                      <w:b/>
                      <w:color w:val="FFFFFF"/>
                      <w:sz w:val="19"/>
                    </w:rPr>
                    <w:t>CheXNet</w:t>
                  </w:r>
                </w:p>
              </w:tc>
              <w:tc>
                <w:tcPr>
                  <w:tcW w:type="dxa" w:w="1930"/>
                  <w:shd w:val="clear" w:color="auto" w:fill="1E375A"/>
                </w:tcPr>
                <w:p>
                  <w:pPr>
                    <w:jc w:val="center"/>
                  </w:pPr>
                  <w:r>
                    <w:rPr>
                      <w:rFonts w:ascii="Calibri" w:hAnsi="Calibri"/>
                      <w:b/>
                      <w:color w:val="FFFFFF"/>
                      <w:sz w:val="19"/>
                    </w:rPr>
                    <w:t>ConvNeXt-Large</w:t>
                  </w:r>
                </w:p>
              </w:tc>
              <w:tc>
                <w:tcPr>
                  <w:tcW w:type="dxa" w:w="1930"/>
                  <w:shd w:val="clear" w:color="auto" w:fill="1E375A"/>
                </w:tcPr>
                <w:p>
                  <w:pPr>
                    <w:jc w:val="center"/>
                  </w:pPr>
                  <w:r>
                    <w:rPr>
                      <w:rFonts w:ascii="Calibri" w:hAnsi="Calibri"/>
                      <w:b/>
                      <w:color w:val="FFFFFF"/>
                      <w:sz w:val="19"/>
                    </w:rPr>
                    <w:t>🏆 4-Model Ensemble + TTA</w:t>
                  </w:r>
                </w:p>
              </w:tc>
            </w:tr>
            <w:tr>
              <w:tc>
                <w:tcPr>
                  <w:tcW w:type="dxa" w:w="1930"/>
                  <w:shd w:val="clear" w:color="auto" w:fill="FFFFFF"/>
                </w:tcPr>
                <w:p>
                  <w:pPr>
                    <w:jc w:val="center"/>
                  </w:pPr>
                  <w:r>
                    <w:rPr>
                      <w:rFonts w:ascii="Calibri" w:hAnsi="Calibri"/>
                      <w:color w:val="222222"/>
                      <w:sz w:val="19"/>
                    </w:rPr>
                    <w:t>Atelectasis</w:t>
                  </w:r>
                </w:p>
              </w:tc>
              <w:tc>
                <w:tcPr>
                  <w:tcW w:type="dxa" w:w="1930"/>
                  <w:shd w:val="clear" w:color="auto" w:fill="FFFFFF"/>
                </w:tcPr>
                <w:p>
                  <w:pPr>
                    <w:jc w:val="center"/>
                  </w:pPr>
                  <w:r>
                    <w:rPr>
                      <w:rFonts w:ascii="Calibri" w:hAnsi="Calibri"/>
                      <w:color w:val="222222"/>
                      <w:sz w:val="19"/>
                    </w:rPr>
                    <w:t>0.7798</w:t>
                  </w:r>
                </w:p>
              </w:tc>
              <w:tc>
                <w:tcPr>
                  <w:tcW w:type="dxa" w:w="1930"/>
                  <w:shd w:val="clear" w:color="auto" w:fill="FFFFFF"/>
                </w:tcPr>
                <w:p>
                  <w:pPr>
                    <w:jc w:val="center"/>
                  </w:pPr>
                  <w:r>
                    <w:rPr>
                      <w:rFonts w:ascii="Calibri" w:hAnsi="Calibri"/>
                      <w:color w:val="222222"/>
                      <w:sz w:val="19"/>
                    </w:rPr>
                    <w:t>0.7827</w:t>
                  </w:r>
                </w:p>
              </w:tc>
              <w:tc>
                <w:tcPr>
                  <w:tcW w:type="dxa" w:w="1930"/>
                  <w:shd w:val="clear" w:color="auto" w:fill="FFFFFF"/>
                </w:tcPr>
                <w:p>
                  <w:pPr>
                    <w:jc w:val="center"/>
                  </w:pPr>
                  <w:r>
                    <w:rPr>
                      <w:rFonts w:ascii="Calibri" w:hAnsi="Calibri"/>
                      <w:color w:val="222222"/>
                      <w:sz w:val="19"/>
                    </w:rPr>
                    <w:t>0.7845</w:t>
                  </w:r>
                </w:p>
              </w:tc>
              <w:tc>
                <w:tcPr>
                  <w:tcW w:type="dxa" w:w="1930"/>
                  <w:shd w:val="clear" w:color="auto" w:fill="FFFFFF"/>
                </w:tcPr>
                <w:p>
                  <w:pPr>
                    <w:jc w:val="center"/>
                  </w:pPr>
                  <w:r>
                    <w:rPr>
                      <w:rFonts w:ascii="Calibri" w:hAnsi="Calibri"/>
                      <w:color w:val="222222"/>
                      <w:sz w:val="19"/>
                    </w:rPr>
                    <w:t>0.7991 (+0.0146)</w:t>
                  </w:r>
                </w:p>
              </w:tc>
            </w:tr>
            <w:tr>
              <w:tc>
                <w:tcPr>
                  <w:tcW w:type="dxa" w:w="1930"/>
                  <w:shd w:val="clear" w:color="auto" w:fill="F4F7FA"/>
                </w:tcPr>
                <w:p>
                  <w:pPr>
                    <w:jc w:val="center"/>
                  </w:pPr>
                  <w:r>
                    <w:rPr>
                      <w:rFonts w:ascii="Calibri" w:hAnsi="Calibri"/>
                      <w:color w:val="222222"/>
                      <w:sz w:val="19"/>
                    </w:rPr>
                    <w:t>Cardiomegaly</w:t>
                  </w:r>
                </w:p>
              </w:tc>
              <w:tc>
                <w:tcPr>
                  <w:tcW w:type="dxa" w:w="1930"/>
                  <w:shd w:val="clear" w:color="auto" w:fill="F4F7FA"/>
                </w:tcPr>
                <w:p>
                  <w:pPr>
                    <w:jc w:val="center"/>
                  </w:pPr>
                  <w:r>
                    <w:rPr>
                      <w:rFonts w:ascii="Calibri" w:hAnsi="Calibri"/>
                      <w:color w:val="222222"/>
                      <w:sz w:val="19"/>
                    </w:rPr>
                    <w:t>0.8759</w:t>
                  </w:r>
                </w:p>
              </w:tc>
              <w:tc>
                <w:tcPr>
                  <w:tcW w:type="dxa" w:w="1930"/>
                  <w:shd w:val="clear" w:color="auto" w:fill="F4F7FA"/>
                </w:tcPr>
                <w:p>
                  <w:pPr>
                    <w:jc w:val="center"/>
                  </w:pPr>
                  <w:r>
                    <w:rPr>
                      <w:rFonts w:ascii="Calibri" w:hAnsi="Calibri"/>
                      <w:color w:val="222222"/>
                      <w:sz w:val="19"/>
                    </w:rPr>
                    <w:t>0.8924</w:t>
                  </w:r>
                </w:p>
              </w:tc>
              <w:tc>
                <w:tcPr>
                  <w:tcW w:type="dxa" w:w="1930"/>
                  <w:shd w:val="clear" w:color="auto" w:fill="F4F7FA"/>
                </w:tcPr>
                <w:p>
                  <w:pPr>
                    <w:jc w:val="center"/>
                  </w:pPr>
                  <w:r>
                    <w:rPr>
                      <w:rFonts w:ascii="Calibri" w:hAnsi="Calibri"/>
                      <w:color w:val="222222"/>
                      <w:sz w:val="19"/>
                    </w:rPr>
                    <w:t>0.8850</w:t>
                  </w:r>
                </w:p>
              </w:tc>
              <w:tc>
                <w:tcPr>
                  <w:tcW w:type="dxa" w:w="1930"/>
                  <w:shd w:val="clear" w:color="auto" w:fill="F4F7FA"/>
                </w:tcPr>
                <w:p>
                  <w:pPr>
                    <w:jc w:val="center"/>
                  </w:pPr>
                  <w:r>
                    <w:rPr>
                      <w:rFonts w:ascii="Calibri" w:hAnsi="Calibri"/>
                      <w:color w:val="222222"/>
                      <w:sz w:val="19"/>
                    </w:rPr>
                    <w:t>0.8995 (~90.0%)</w:t>
                  </w:r>
                </w:p>
              </w:tc>
            </w:tr>
            <w:tr>
              <w:tc>
                <w:tcPr>
                  <w:tcW w:type="dxa" w:w="1930"/>
                  <w:shd w:val="clear" w:color="auto" w:fill="FFFFFF"/>
                </w:tcPr>
                <w:p>
                  <w:pPr>
                    <w:jc w:val="center"/>
                  </w:pPr>
                  <w:r>
                    <w:rPr>
                      <w:rFonts w:ascii="Calibri" w:hAnsi="Calibri"/>
                      <w:color w:val="222222"/>
                      <w:sz w:val="19"/>
                    </w:rPr>
                    <w:t>Effusion</w:t>
                  </w:r>
                </w:p>
              </w:tc>
              <w:tc>
                <w:tcPr>
                  <w:tcW w:type="dxa" w:w="1930"/>
                  <w:shd w:val="clear" w:color="auto" w:fill="FFFFFF"/>
                </w:tcPr>
                <w:p>
                  <w:pPr>
                    <w:jc w:val="center"/>
                  </w:pPr>
                  <w:r>
                    <w:rPr>
                      <w:rFonts w:ascii="Calibri" w:hAnsi="Calibri"/>
                      <w:color w:val="222222"/>
                      <w:sz w:val="19"/>
                    </w:rPr>
                    <w:t>0.8327</w:t>
                  </w:r>
                </w:p>
              </w:tc>
              <w:tc>
                <w:tcPr>
                  <w:tcW w:type="dxa" w:w="1930"/>
                  <w:shd w:val="clear" w:color="auto" w:fill="FFFFFF"/>
                </w:tcPr>
                <w:p>
                  <w:pPr>
                    <w:jc w:val="center"/>
                  </w:pPr>
                  <w:r>
                    <w:rPr>
                      <w:rFonts w:ascii="Calibri" w:hAnsi="Calibri"/>
                      <w:color w:val="222222"/>
                      <w:sz w:val="19"/>
                    </w:rPr>
                    <w:t>0.8365</w:t>
                  </w:r>
                </w:p>
              </w:tc>
              <w:tc>
                <w:tcPr>
                  <w:tcW w:type="dxa" w:w="1930"/>
                  <w:shd w:val="clear" w:color="auto" w:fill="FFFFFF"/>
                </w:tcPr>
                <w:p>
                  <w:pPr>
                    <w:jc w:val="center"/>
                  </w:pPr>
                  <w:r>
                    <w:rPr>
                      <w:rFonts w:ascii="Calibri" w:hAnsi="Calibri"/>
                      <w:color w:val="222222"/>
                      <w:sz w:val="19"/>
                    </w:rPr>
                    <w:t>0.8390</w:t>
                  </w:r>
                </w:p>
              </w:tc>
              <w:tc>
                <w:tcPr>
                  <w:tcW w:type="dxa" w:w="1930"/>
                  <w:shd w:val="clear" w:color="auto" w:fill="FFFFFF"/>
                </w:tcPr>
                <w:p>
                  <w:pPr>
                    <w:jc w:val="center"/>
                  </w:pPr>
                  <w:r>
                    <w:rPr>
                      <w:rFonts w:ascii="Calibri" w:hAnsi="Calibri"/>
                      <w:color w:val="222222"/>
                      <w:sz w:val="19"/>
                    </w:rPr>
                    <w:t>0.8454 (+0.0064)</w:t>
                  </w:r>
                </w:p>
              </w:tc>
            </w:tr>
            <w:tr>
              <w:tc>
                <w:tcPr>
                  <w:tcW w:type="dxa" w:w="1930"/>
                  <w:shd w:val="clear" w:color="auto" w:fill="F4F7FA"/>
                </w:tcPr>
                <w:p>
                  <w:pPr>
                    <w:jc w:val="center"/>
                  </w:pPr>
                  <w:r>
                    <w:rPr>
                      <w:rFonts w:ascii="Calibri" w:hAnsi="Calibri"/>
                      <w:color w:val="222222"/>
                      <w:sz w:val="19"/>
                    </w:rPr>
                    <w:t>Infiltration</w:t>
                  </w:r>
                </w:p>
              </w:tc>
              <w:tc>
                <w:tcPr>
                  <w:tcW w:type="dxa" w:w="1930"/>
                  <w:shd w:val="clear" w:color="auto" w:fill="F4F7FA"/>
                </w:tcPr>
                <w:p>
                  <w:pPr>
                    <w:jc w:val="center"/>
                  </w:pPr>
                  <w:r>
                    <w:rPr>
                      <w:rFonts w:ascii="Calibri" w:hAnsi="Calibri"/>
                      <w:color w:val="222222"/>
                      <w:sz w:val="19"/>
                    </w:rPr>
                    <w:t>0.7004</w:t>
                  </w:r>
                </w:p>
              </w:tc>
              <w:tc>
                <w:tcPr>
                  <w:tcW w:type="dxa" w:w="1930"/>
                  <w:shd w:val="clear" w:color="auto" w:fill="F4F7FA"/>
                </w:tcPr>
                <w:p>
                  <w:pPr>
                    <w:jc w:val="center"/>
                  </w:pPr>
                  <w:r>
                    <w:rPr>
                      <w:rFonts w:ascii="Calibri" w:hAnsi="Calibri"/>
                      <w:color w:val="222222"/>
                      <w:sz w:val="19"/>
                    </w:rPr>
                    <w:t>0.6963</w:t>
                  </w:r>
                </w:p>
              </w:tc>
              <w:tc>
                <w:tcPr>
                  <w:tcW w:type="dxa" w:w="1930"/>
                  <w:shd w:val="clear" w:color="auto" w:fill="F4F7FA"/>
                </w:tcPr>
                <w:p>
                  <w:pPr>
                    <w:jc w:val="center"/>
                  </w:pPr>
                  <w:r>
                    <w:rPr>
                      <w:rFonts w:ascii="Calibri" w:hAnsi="Calibri"/>
                      <w:color w:val="222222"/>
                      <w:sz w:val="19"/>
                    </w:rPr>
                    <w:t>0.7080</w:t>
                  </w:r>
                </w:p>
              </w:tc>
              <w:tc>
                <w:tcPr>
                  <w:tcW w:type="dxa" w:w="1930"/>
                  <w:shd w:val="clear" w:color="auto" w:fill="F4F7FA"/>
                </w:tcPr>
                <w:p>
                  <w:pPr>
                    <w:jc w:val="center"/>
                  </w:pPr>
                  <w:r>
                    <w:rPr>
                      <w:rFonts w:ascii="Calibri" w:hAnsi="Calibri"/>
                      <w:color w:val="222222"/>
                      <w:sz w:val="19"/>
                    </w:rPr>
                    <w:t>0.7127</w:t>
                  </w:r>
                </w:p>
              </w:tc>
            </w:tr>
            <w:tr>
              <w:tc>
                <w:tcPr>
                  <w:tcW w:type="dxa" w:w="1930"/>
                  <w:shd w:val="clear" w:color="auto" w:fill="FFFFFF"/>
                </w:tcPr>
                <w:p>
                  <w:pPr>
                    <w:jc w:val="center"/>
                  </w:pPr>
                  <w:r>
                    <w:rPr>
                      <w:rFonts w:ascii="Calibri" w:hAnsi="Calibri"/>
                      <w:color w:val="222222"/>
                      <w:sz w:val="19"/>
                    </w:rPr>
                    <w:t>Mass</w:t>
                  </w:r>
                </w:p>
              </w:tc>
              <w:tc>
                <w:tcPr>
                  <w:tcW w:type="dxa" w:w="1930"/>
                  <w:shd w:val="clear" w:color="auto" w:fill="FFFFFF"/>
                </w:tcPr>
                <w:p>
                  <w:pPr>
                    <w:jc w:val="center"/>
                  </w:pPr>
                  <w:r>
                    <w:rPr>
                      <w:rFonts w:ascii="Calibri" w:hAnsi="Calibri"/>
                      <w:color w:val="222222"/>
                      <w:sz w:val="19"/>
                    </w:rPr>
                    <w:t>0.8249</w:t>
                  </w:r>
                </w:p>
              </w:tc>
              <w:tc>
                <w:tcPr>
                  <w:tcW w:type="dxa" w:w="1930"/>
                  <w:shd w:val="clear" w:color="auto" w:fill="FFFFFF"/>
                </w:tcPr>
                <w:p>
                  <w:pPr>
                    <w:jc w:val="center"/>
                  </w:pPr>
                  <w:r>
                    <w:rPr>
                      <w:rFonts w:ascii="Calibri" w:hAnsi="Calibri"/>
                      <w:color w:val="222222"/>
                      <w:sz w:val="19"/>
                    </w:rPr>
                    <w:t>0.8247</w:t>
                  </w:r>
                </w:p>
              </w:tc>
              <w:tc>
                <w:tcPr>
                  <w:tcW w:type="dxa" w:w="1930"/>
                  <w:shd w:val="clear" w:color="auto" w:fill="FFFFFF"/>
                </w:tcPr>
                <w:p>
                  <w:pPr>
                    <w:jc w:val="center"/>
                  </w:pPr>
                  <w:r>
                    <w:rPr>
                      <w:rFonts w:ascii="Calibri" w:hAnsi="Calibri"/>
                      <w:color w:val="222222"/>
                      <w:sz w:val="19"/>
                    </w:rPr>
                    <w:t>0.8310</w:t>
                  </w:r>
                </w:p>
              </w:tc>
              <w:tc>
                <w:tcPr>
                  <w:tcW w:type="dxa" w:w="1930"/>
                  <w:shd w:val="clear" w:color="auto" w:fill="FFFFFF"/>
                </w:tcPr>
                <w:p>
                  <w:pPr>
                    <w:jc w:val="center"/>
                  </w:pPr>
                  <w:r>
                    <w:rPr>
                      <w:rFonts w:ascii="Calibri" w:hAnsi="Calibri"/>
                      <w:color w:val="222222"/>
                      <w:sz w:val="19"/>
                    </w:rPr>
                    <w:t>0.8525 (+0.0215)</w:t>
                  </w:r>
                </w:p>
              </w:tc>
            </w:tr>
            <w:tr>
              <w:tc>
                <w:tcPr>
                  <w:tcW w:type="dxa" w:w="1930"/>
                  <w:shd w:val="clear" w:color="auto" w:fill="F4F7FA"/>
                </w:tcPr>
                <w:p>
                  <w:pPr>
                    <w:jc w:val="center"/>
                  </w:pPr>
                  <w:r>
                    <w:rPr>
                      <w:rFonts w:ascii="Calibri" w:hAnsi="Calibri"/>
                      <w:color w:val="222222"/>
                      <w:sz w:val="19"/>
                    </w:rPr>
                    <w:t>Nodule</w:t>
                  </w:r>
                </w:p>
              </w:tc>
              <w:tc>
                <w:tcPr>
                  <w:tcW w:type="dxa" w:w="1930"/>
                  <w:shd w:val="clear" w:color="auto" w:fill="F4F7FA"/>
                </w:tcPr>
                <w:p>
                  <w:pPr>
                    <w:jc w:val="center"/>
                  </w:pPr>
                  <w:r>
                    <w:rPr>
                      <w:rFonts w:ascii="Calibri" w:hAnsi="Calibri"/>
                      <w:color w:val="222222"/>
                      <w:sz w:val="19"/>
                    </w:rPr>
                    <w:t>0.8003</w:t>
                  </w:r>
                </w:p>
              </w:tc>
              <w:tc>
                <w:tcPr>
                  <w:tcW w:type="dxa" w:w="1930"/>
                  <w:shd w:val="clear" w:color="auto" w:fill="F4F7FA"/>
                </w:tcPr>
                <w:p>
                  <w:pPr>
                    <w:jc w:val="center"/>
                  </w:pPr>
                  <w:r>
                    <w:rPr>
                      <w:rFonts w:ascii="Calibri" w:hAnsi="Calibri"/>
                      <w:color w:val="222222"/>
                      <w:sz w:val="19"/>
                    </w:rPr>
                    <w:t>0.7870</w:t>
                  </w:r>
                </w:p>
              </w:tc>
              <w:tc>
                <w:tcPr>
                  <w:tcW w:type="dxa" w:w="1930"/>
                  <w:shd w:val="clear" w:color="auto" w:fill="F4F7FA"/>
                </w:tcPr>
                <w:p>
                  <w:pPr>
                    <w:jc w:val="center"/>
                  </w:pPr>
                  <w:r>
                    <w:rPr>
                      <w:rFonts w:ascii="Calibri" w:hAnsi="Calibri"/>
                      <w:color w:val="222222"/>
                      <w:sz w:val="19"/>
                    </w:rPr>
                    <w:t>0.7950</w:t>
                  </w:r>
                </w:p>
              </w:tc>
              <w:tc>
                <w:tcPr>
                  <w:tcW w:type="dxa" w:w="1930"/>
                  <w:shd w:val="clear" w:color="auto" w:fill="F4F7FA"/>
                </w:tcPr>
                <w:p>
                  <w:pPr>
                    <w:jc w:val="center"/>
                  </w:pPr>
                  <w:r>
                    <w:rPr>
                      <w:rFonts w:ascii="Calibri" w:hAnsi="Calibri"/>
                      <w:color w:val="222222"/>
                      <w:sz w:val="19"/>
                    </w:rPr>
                    <w:t>0.8149 (+0.0146)</w:t>
                  </w:r>
                </w:p>
              </w:tc>
            </w:tr>
            <w:tr>
              <w:tc>
                <w:tcPr>
                  <w:tcW w:type="dxa" w:w="1930"/>
                  <w:shd w:val="clear" w:color="auto" w:fill="FFFFFF"/>
                </w:tcPr>
                <w:p>
                  <w:pPr>
                    <w:jc w:val="center"/>
                  </w:pPr>
                  <w:r>
                    <w:rPr>
                      <w:rFonts w:ascii="Calibri" w:hAnsi="Calibri"/>
                      <w:color w:val="222222"/>
                      <w:sz w:val="19"/>
                    </w:rPr>
                    <w:t>Pneumonia</w:t>
                  </w:r>
                </w:p>
              </w:tc>
              <w:tc>
                <w:tcPr>
                  <w:tcW w:type="dxa" w:w="1930"/>
                  <w:shd w:val="clear" w:color="auto" w:fill="FFFFFF"/>
                </w:tcPr>
                <w:p>
                  <w:pPr>
                    <w:jc w:val="center"/>
                  </w:pPr>
                  <w:r>
                    <w:rPr>
                      <w:rFonts w:ascii="Calibri" w:hAnsi="Calibri"/>
                      <w:color w:val="222222"/>
                      <w:sz w:val="19"/>
                    </w:rPr>
                    <w:t>0.7325</w:t>
                  </w:r>
                </w:p>
              </w:tc>
              <w:tc>
                <w:tcPr>
                  <w:tcW w:type="dxa" w:w="1930"/>
                  <w:shd w:val="clear" w:color="auto" w:fill="FFFFFF"/>
                </w:tcPr>
                <w:p>
                  <w:pPr>
                    <w:jc w:val="center"/>
                  </w:pPr>
                  <w:r>
                    <w:rPr>
                      <w:rFonts w:ascii="Calibri" w:hAnsi="Calibri"/>
                      <w:color w:val="222222"/>
                      <w:sz w:val="19"/>
                    </w:rPr>
                    <w:t>0.7275</w:t>
                  </w:r>
                </w:p>
              </w:tc>
              <w:tc>
                <w:tcPr>
                  <w:tcW w:type="dxa" w:w="1930"/>
                  <w:shd w:val="clear" w:color="auto" w:fill="FFFFFF"/>
                </w:tcPr>
                <w:p>
                  <w:pPr>
                    <w:jc w:val="center"/>
                  </w:pPr>
                  <w:r>
                    <w:rPr>
                      <w:rFonts w:ascii="Calibri" w:hAnsi="Calibri"/>
                      <w:color w:val="222222"/>
                      <w:sz w:val="19"/>
                    </w:rPr>
                    <w:t>0.7380</w:t>
                  </w:r>
                </w:p>
              </w:tc>
              <w:tc>
                <w:tcPr>
                  <w:tcW w:type="dxa" w:w="1930"/>
                  <w:shd w:val="clear" w:color="auto" w:fill="FFFFFF"/>
                </w:tcPr>
                <w:p>
                  <w:pPr>
                    <w:jc w:val="center"/>
                  </w:pPr>
                  <w:r>
                    <w:rPr>
                      <w:rFonts w:ascii="Calibri" w:hAnsi="Calibri"/>
                      <w:color w:val="222222"/>
                      <w:sz w:val="19"/>
                    </w:rPr>
                    <w:t>0.7446 (+0.0066)</w:t>
                  </w:r>
                </w:p>
              </w:tc>
            </w:tr>
            <w:tr>
              <w:tc>
                <w:tcPr>
                  <w:tcW w:type="dxa" w:w="1930"/>
                  <w:shd w:val="clear" w:color="auto" w:fill="F4F7FA"/>
                </w:tcPr>
                <w:p>
                  <w:pPr>
                    <w:jc w:val="center"/>
                  </w:pPr>
                  <w:r>
                    <w:rPr>
                      <w:rFonts w:ascii="Calibri" w:hAnsi="Calibri"/>
                      <w:color w:val="222222"/>
                      <w:sz w:val="19"/>
                    </w:rPr>
                    <w:t>Pneumothorax</w:t>
                  </w:r>
                </w:p>
              </w:tc>
              <w:tc>
                <w:tcPr>
                  <w:tcW w:type="dxa" w:w="1930"/>
                  <w:shd w:val="clear" w:color="auto" w:fill="F4F7FA"/>
                </w:tcPr>
                <w:p>
                  <w:pPr>
                    <w:jc w:val="center"/>
                  </w:pPr>
                  <w:r>
                    <w:rPr>
                      <w:rFonts w:ascii="Calibri" w:hAnsi="Calibri"/>
                      <w:color w:val="222222"/>
                      <w:sz w:val="19"/>
                    </w:rPr>
                    <w:t>0.8600</w:t>
                  </w:r>
                </w:p>
              </w:tc>
              <w:tc>
                <w:tcPr>
                  <w:tcW w:type="dxa" w:w="1930"/>
                  <w:shd w:val="clear" w:color="auto" w:fill="F4F7FA"/>
                </w:tcPr>
                <w:p>
                  <w:pPr>
                    <w:jc w:val="center"/>
                  </w:pPr>
                  <w:r>
                    <w:rPr>
                      <w:rFonts w:ascii="Calibri" w:hAnsi="Calibri"/>
                      <w:color w:val="222222"/>
                      <w:sz w:val="19"/>
                    </w:rPr>
                    <w:t>0.8773</w:t>
                  </w:r>
                </w:p>
              </w:tc>
              <w:tc>
                <w:tcPr>
                  <w:tcW w:type="dxa" w:w="1930"/>
                  <w:shd w:val="clear" w:color="auto" w:fill="F4F7FA"/>
                </w:tcPr>
                <w:p>
                  <w:pPr>
                    <w:jc w:val="center"/>
                  </w:pPr>
                  <w:r>
                    <w:rPr>
                      <w:rFonts w:ascii="Calibri" w:hAnsi="Calibri"/>
                      <w:color w:val="222222"/>
                      <w:sz w:val="19"/>
                    </w:rPr>
                    <w:t>0.8790</w:t>
                  </w:r>
                </w:p>
              </w:tc>
              <w:tc>
                <w:tcPr>
                  <w:tcW w:type="dxa" w:w="1930"/>
                  <w:shd w:val="clear" w:color="auto" w:fill="F4F7FA"/>
                </w:tcPr>
                <w:p>
                  <w:pPr>
                    <w:jc w:val="center"/>
                  </w:pPr>
                  <w:r>
                    <w:rPr>
                      <w:rFonts w:ascii="Calibri" w:hAnsi="Calibri"/>
                      <w:color w:val="222222"/>
                      <w:sz w:val="19"/>
                    </w:rPr>
                    <w:t>0.8870 (+0.0080)</w:t>
                  </w:r>
                </w:p>
              </w:tc>
            </w:tr>
            <w:tr>
              <w:tc>
                <w:tcPr>
                  <w:tcW w:type="dxa" w:w="1930"/>
                  <w:shd w:val="clear" w:color="auto" w:fill="FFFFFF"/>
                </w:tcPr>
                <w:p>
                  <w:pPr>
                    <w:jc w:val="center"/>
                  </w:pPr>
                  <w:r>
                    <w:rPr>
                      <w:rFonts w:ascii="Calibri" w:hAnsi="Calibri"/>
                      <w:color w:val="222222"/>
                      <w:sz w:val="19"/>
                    </w:rPr>
                    <w:t>Consolidation</w:t>
                  </w:r>
                </w:p>
              </w:tc>
              <w:tc>
                <w:tcPr>
                  <w:tcW w:type="dxa" w:w="1930"/>
                  <w:shd w:val="clear" w:color="auto" w:fill="FFFFFF"/>
                </w:tcPr>
                <w:p>
                  <w:pPr>
                    <w:jc w:val="center"/>
                  </w:pPr>
                  <w:r>
                    <w:rPr>
                      <w:rFonts w:ascii="Calibri" w:hAnsi="Calibri"/>
                      <w:color w:val="222222"/>
                      <w:sz w:val="19"/>
                    </w:rPr>
                    <w:t>0.7463</w:t>
                  </w:r>
                </w:p>
              </w:tc>
              <w:tc>
                <w:tcPr>
                  <w:tcW w:type="dxa" w:w="1930"/>
                  <w:shd w:val="clear" w:color="auto" w:fill="FFFFFF"/>
                </w:tcPr>
                <w:p>
                  <w:pPr>
                    <w:jc w:val="center"/>
                  </w:pPr>
                  <w:r>
                    <w:rPr>
                      <w:rFonts w:ascii="Calibri" w:hAnsi="Calibri"/>
                      <w:color w:val="222222"/>
                      <w:sz w:val="19"/>
                    </w:rPr>
                    <w:t>0.7529</w:t>
                  </w:r>
                </w:p>
              </w:tc>
              <w:tc>
                <w:tcPr>
                  <w:tcW w:type="dxa" w:w="1930"/>
                  <w:shd w:val="clear" w:color="auto" w:fill="FFFFFF"/>
                </w:tcPr>
                <w:p>
                  <w:pPr>
                    <w:jc w:val="center"/>
                  </w:pPr>
                  <w:r>
                    <w:rPr>
                      <w:rFonts w:ascii="Calibri" w:hAnsi="Calibri"/>
                      <w:color w:val="222222"/>
                      <w:sz w:val="19"/>
                    </w:rPr>
                    <w:t>0.7580</w:t>
                  </w:r>
                </w:p>
              </w:tc>
              <w:tc>
                <w:tcPr>
                  <w:tcW w:type="dxa" w:w="1930"/>
                  <w:shd w:val="clear" w:color="auto" w:fill="FFFFFF"/>
                </w:tcPr>
                <w:p>
                  <w:pPr>
                    <w:jc w:val="center"/>
                  </w:pPr>
                  <w:r>
                    <w:rPr>
                      <w:rFonts w:ascii="Calibri" w:hAnsi="Calibri"/>
                      <w:color w:val="222222"/>
                      <w:sz w:val="19"/>
                    </w:rPr>
                    <w:t>0.7668 (+0.0088)</w:t>
                  </w:r>
                </w:p>
              </w:tc>
            </w:tr>
            <w:tr>
              <w:tc>
                <w:tcPr>
                  <w:tcW w:type="dxa" w:w="1930"/>
                  <w:shd w:val="clear" w:color="auto" w:fill="F4F7FA"/>
                </w:tcPr>
                <w:p>
                  <w:pPr>
                    <w:jc w:val="center"/>
                  </w:pPr>
                  <w:r>
                    <w:rPr>
                      <w:rFonts w:ascii="Calibri" w:hAnsi="Calibri"/>
                      <w:color w:val="222222"/>
                      <w:sz w:val="19"/>
                    </w:rPr>
                    <w:t>Edema</w:t>
                  </w:r>
                </w:p>
              </w:tc>
              <w:tc>
                <w:tcPr>
                  <w:tcW w:type="dxa" w:w="1930"/>
                  <w:shd w:val="clear" w:color="auto" w:fill="F4F7FA"/>
                </w:tcPr>
                <w:p>
                  <w:pPr>
                    <w:jc w:val="center"/>
                  </w:pPr>
                  <w:r>
                    <w:rPr>
                      <w:rFonts w:ascii="Calibri" w:hAnsi="Calibri"/>
                      <w:color w:val="222222"/>
                      <w:sz w:val="19"/>
                    </w:rPr>
                    <w:t>0.8440</w:t>
                  </w:r>
                </w:p>
              </w:tc>
              <w:tc>
                <w:tcPr>
                  <w:tcW w:type="dxa" w:w="1930"/>
                  <w:shd w:val="clear" w:color="auto" w:fill="F4F7FA"/>
                </w:tcPr>
                <w:p>
                  <w:pPr>
                    <w:jc w:val="center"/>
                  </w:pPr>
                  <w:r>
                    <w:rPr>
                      <w:rFonts w:ascii="Calibri" w:hAnsi="Calibri"/>
                      <w:color w:val="222222"/>
                      <w:sz w:val="19"/>
                    </w:rPr>
                    <w:t>0.8454</w:t>
                  </w:r>
                </w:p>
              </w:tc>
              <w:tc>
                <w:tcPr>
                  <w:tcW w:type="dxa" w:w="1930"/>
                  <w:shd w:val="clear" w:color="auto" w:fill="F4F7FA"/>
                </w:tcPr>
                <w:p>
                  <w:pPr>
                    <w:jc w:val="center"/>
                  </w:pPr>
                  <w:r>
                    <w:rPr>
                      <w:rFonts w:ascii="Calibri" w:hAnsi="Calibri"/>
                      <w:color w:val="222222"/>
                      <w:sz w:val="19"/>
                    </w:rPr>
                    <w:t>0.8510</w:t>
                  </w:r>
                </w:p>
              </w:tc>
              <w:tc>
                <w:tcPr>
                  <w:tcW w:type="dxa" w:w="1930"/>
                  <w:shd w:val="clear" w:color="auto" w:fill="F4F7FA"/>
                </w:tcPr>
                <w:p>
                  <w:pPr>
                    <w:jc w:val="center"/>
                  </w:pPr>
                  <w:r>
                    <w:rPr>
                      <w:rFonts w:ascii="Calibri" w:hAnsi="Calibri"/>
                      <w:color w:val="222222"/>
                      <w:sz w:val="19"/>
                    </w:rPr>
                    <w:t>0.8644 (+0.0134)</w:t>
                  </w:r>
                </w:p>
              </w:tc>
            </w:tr>
            <w:tr>
              <w:tc>
                <w:tcPr>
                  <w:tcW w:type="dxa" w:w="1930"/>
                  <w:shd w:val="clear" w:color="auto" w:fill="FFFFFF"/>
                </w:tcPr>
                <w:p>
                  <w:pPr>
                    <w:jc w:val="center"/>
                  </w:pPr>
                  <w:r>
                    <w:rPr>
                      <w:rFonts w:ascii="Calibri" w:hAnsi="Calibri"/>
                      <w:color w:val="222222"/>
                      <w:sz w:val="19"/>
                    </w:rPr>
                    <w:t>Emphysema</w:t>
                  </w:r>
                </w:p>
              </w:tc>
              <w:tc>
                <w:tcPr>
                  <w:tcW w:type="dxa" w:w="1930"/>
                  <w:shd w:val="clear" w:color="auto" w:fill="FFFFFF"/>
                </w:tcPr>
                <w:p>
                  <w:pPr>
                    <w:jc w:val="center"/>
                  </w:pPr>
                  <w:r>
                    <w:rPr>
                      <w:rFonts w:ascii="Calibri" w:hAnsi="Calibri"/>
                      <w:color w:val="222222"/>
                      <w:sz w:val="19"/>
                    </w:rPr>
                    <w:t>0.9212</w:t>
                  </w:r>
                </w:p>
              </w:tc>
              <w:tc>
                <w:tcPr>
                  <w:tcW w:type="dxa" w:w="1930"/>
                  <w:shd w:val="clear" w:color="auto" w:fill="FFFFFF"/>
                </w:tcPr>
                <w:p>
                  <w:pPr>
                    <w:jc w:val="center"/>
                  </w:pPr>
                  <w:r>
                    <w:rPr>
                      <w:rFonts w:ascii="Calibri" w:hAnsi="Calibri"/>
                      <w:color w:val="222222"/>
                      <w:sz w:val="19"/>
                    </w:rPr>
                    <w:t>0.9216</w:t>
                  </w:r>
                </w:p>
              </w:tc>
              <w:tc>
                <w:tcPr>
                  <w:tcW w:type="dxa" w:w="1930"/>
                  <w:shd w:val="clear" w:color="auto" w:fill="FFFFFF"/>
                </w:tcPr>
                <w:p>
                  <w:pPr>
                    <w:jc w:val="center"/>
                  </w:pPr>
                  <w:r>
                    <w:rPr>
                      <w:rFonts w:ascii="Calibri" w:hAnsi="Calibri"/>
                      <w:color w:val="222222"/>
                      <w:sz w:val="19"/>
                    </w:rPr>
                    <w:t>0.9280</w:t>
                  </w:r>
                </w:p>
              </w:tc>
              <w:tc>
                <w:tcPr>
                  <w:tcW w:type="dxa" w:w="1930"/>
                  <w:shd w:val="clear" w:color="auto" w:fill="FFFFFF"/>
                </w:tcPr>
                <w:p>
                  <w:pPr>
                    <w:jc w:val="center"/>
                  </w:pPr>
                  <w:r>
                    <w:rPr>
                      <w:rFonts w:ascii="Calibri" w:hAnsi="Calibri"/>
                      <w:color w:val="222222"/>
                      <w:sz w:val="19"/>
                    </w:rPr>
                    <w:t>0.9362 (+0.0082)</w:t>
                  </w:r>
                </w:p>
              </w:tc>
            </w:tr>
            <w:tr>
              <w:tc>
                <w:tcPr>
                  <w:tcW w:type="dxa" w:w="1930"/>
                  <w:shd w:val="clear" w:color="auto" w:fill="F4F7FA"/>
                </w:tcPr>
                <w:p>
                  <w:pPr>
                    <w:jc w:val="center"/>
                  </w:pPr>
                  <w:r>
                    <w:rPr>
                      <w:rFonts w:ascii="Calibri" w:hAnsi="Calibri"/>
                      <w:color w:val="222222"/>
                      <w:sz w:val="19"/>
                    </w:rPr>
                    <w:t>Fibrosis</w:t>
                  </w:r>
                </w:p>
              </w:tc>
              <w:tc>
                <w:tcPr>
                  <w:tcW w:type="dxa" w:w="1930"/>
                  <w:shd w:val="clear" w:color="auto" w:fill="F4F7FA"/>
                </w:tcPr>
                <w:p>
                  <w:pPr>
                    <w:jc w:val="center"/>
                  </w:pPr>
                  <w:r>
                    <w:rPr>
                      <w:rFonts w:ascii="Calibri" w:hAnsi="Calibri"/>
                      <w:color w:val="222222"/>
                      <w:sz w:val="19"/>
                    </w:rPr>
                    <w:t>0.8433</w:t>
                  </w:r>
                </w:p>
              </w:tc>
              <w:tc>
                <w:tcPr>
                  <w:tcW w:type="dxa" w:w="1930"/>
                  <w:shd w:val="clear" w:color="auto" w:fill="F4F7FA"/>
                </w:tcPr>
                <w:p>
                  <w:pPr>
                    <w:jc w:val="center"/>
                  </w:pPr>
                  <w:r>
                    <w:rPr>
                      <w:rFonts w:ascii="Calibri" w:hAnsi="Calibri"/>
                      <w:color w:val="222222"/>
                      <w:sz w:val="19"/>
                    </w:rPr>
                    <w:t>0.8225</w:t>
                  </w:r>
                </w:p>
              </w:tc>
              <w:tc>
                <w:tcPr>
                  <w:tcW w:type="dxa" w:w="1930"/>
                  <w:shd w:val="clear" w:color="auto" w:fill="F4F7FA"/>
                </w:tcPr>
                <w:p>
                  <w:pPr>
                    <w:jc w:val="center"/>
                  </w:pPr>
                  <w:r>
                    <w:rPr>
                      <w:rFonts w:ascii="Calibri" w:hAnsi="Calibri"/>
                      <w:color w:val="222222"/>
                      <w:sz w:val="19"/>
                    </w:rPr>
                    <w:t>0.8410</w:t>
                  </w:r>
                </w:p>
              </w:tc>
              <w:tc>
                <w:tcPr>
                  <w:tcW w:type="dxa" w:w="1930"/>
                  <w:shd w:val="clear" w:color="auto" w:fill="F4F7FA"/>
                </w:tcPr>
                <w:p>
                  <w:pPr>
                    <w:jc w:val="center"/>
                  </w:pPr>
                  <w:r>
                    <w:rPr>
                      <w:rFonts w:ascii="Calibri" w:hAnsi="Calibri"/>
                      <w:color w:val="222222"/>
                      <w:sz w:val="19"/>
                    </w:rPr>
                    <w:t>0.8538 (+0.0128)</w:t>
                  </w:r>
                </w:p>
              </w:tc>
            </w:tr>
            <w:tr>
              <w:tc>
                <w:tcPr>
                  <w:tcW w:type="dxa" w:w="1930"/>
                  <w:shd w:val="clear" w:color="auto" w:fill="FFFFFF"/>
                </w:tcPr>
                <w:p>
                  <w:pPr>
                    <w:jc w:val="center"/>
                  </w:pPr>
                  <w:r>
                    <w:rPr>
                      <w:rFonts w:ascii="Calibri" w:hAnsi="Calibri"/>
                      <w:color w:val="222222"/>
                      <w:sz w:val="19"/>
                    </w:rPr>
                    <w:t>Pleural Thickening</w:t>
                  </w:r>
                </w:p>
              </w:tc>
              <w:tc>
                <w:tcPr>
                  <w:tcW w:type="dxa" w:w="1930"/>
                  <w:shd w:val="clear" w:color="auto" w:fill="FFFFFF"/>
                </w:tcPr>
                <w:p>
                  <w:pPr>
                    <w:jc w:val="center"/>
                  </w:pPr>
                  <w:r>
                    <w:rPr>
                      <w:rFonts w:ascii="Calibri" w:hAnsi="Calibri"/>
                      <w:color w:val="222222"/>
                      <w:sz w:val="19"/>
                    </w:rPr>
                    <w:t>0.7966</w:t>
                  </w:r>
                </w:p>
              </w:tc>
              <w:tc>
                <w:tcPr>
                  <w:tcW w:type="dxa" w:w="1930"/>
                  <w:shd w:val="clear" w:color="auto" w:fill="FFFFFF"/>
                </w:tcPr>
                <w:p>
                  <w:pPr>
                    <w:jc w:val="center"/>
                  </w:pPr>
                  <w:r>
                    <w:rPr>
                      <w:rFonts w:ascii="Calibri" w:hAnsi="Calibri"/>
                      <w:color w:val="222222"/>
                      <w:sz w:val="19"/>
                    </w:rPr>
                    <w:t>0.7891</w:t>
                  </w:r>
                </w:p>
              </w:tc>
              <w:tc>
                <w:tcPr>
                  <w:tcW w:type="dxa" w:w="1930"/>
                  <w:shd w:val="clear" w:color="auto" w:fill="FFFFFF"/>
                </w:tcPr>
                <w:p>
                  <w:pPr>
                    <w:jc w:val="center"/>
                  </w:pPr>
                  <w:r>
                    <w:rPr>
                      <w:rFonts w:ascii="Calibri" w:hAnsi="Calibri"/>
                      <w:color w:val="222222"/>
                      <w:sz w:val="19"/>
                    </w:rPr>
                    <w:t>0.8010</w:t>
                  </w:r>
                </w:p>
              </w:tc>
              <w:tc>
                <w:tcPr>
                  <w:tcW w:type="dxa" w:w="1930"/>
                  <w:shd w:val="clear" w:color="auto" w:fill="FFFFFF"/>
                </w:tcPr>
                <w:p>
                  <w:pPr>
                    <w:jc w:val="center"/>
                  </w:pPr>
                  <w:r>
                    <w:rPr>
                      <w:rFonts w:ascii="Calibri" w:hAnsi="Calibri"/>
                      <w:color w:val="222222"/>
                      <w:sz w:val="19"/>
                    </w:rPr>
                    <w:t>0.8091 (+0.0081)</w:t>
                  </w:r>
                </w:p>
              </w:tc>
            </w:tr>
            <w:tr>
              <w:tc>
                <w:tcPr>
                  <w:tcW w:type="dxa" w:w="1930"/>
                  <w:shd w:val="clear" w:color="auto" w:fill="F4F7FA"/>
                </w:tcPr>
                <w:p>
                  <w:pPr>
                    <w:jc w:val="center"/>
                  </w:pPr>
                  <w:r>
                    <w:rPr>
                      <w:rFonts w:ascii="Calibri" w:hAnsi="Calibri"/>
                      <w:color w:val="222222"/>
                      <w:sz w:val="19"/>
                    </w:rPr>
                    <w:t>Hernia</w:t>
                  </w:r>
                </w:p>
              </w:tc>
              <w:tc>
                <w:tcPr>
                  <w:tcW w:type="dxa" w:w="1930"/>
                  <w:shd w:val="clear" w:color="auto" w:fill="F4F7FA"/>
                </w:tcPr>
                <w:p>
                  <w:pPr>
                    <w:jc w:val="center"/>
                  </w:pPr>
                  <w:r>
                    <w:rPr>
                      <w:rFonts w:ascii="Calibri" w:hAnsi="Calibri"/>
                      <w:color w:val="222222"/>
                      <w:sz w:val="19"/>
                    </w:rPr>
                    <w:t>0.9240</w:t>
                  </w:r>
                </w:p>
              </w:tc>
              <w:tc>
                <w:tcPr>
                  <w:tcW w:type="dxa" w:w="1930"/>
                  <w:shd w:val="clear" w:color="auto" w:fill="F4F7FA"/>
                </w:tcPr>
                <w:p>
                  <w:pPr>
                    <w:jc w:val="center"/>
                  </w:pPr>
                  <w:r>
                    <w:rPr>
                      <w:rFonts w:ascii="Calibri" w:hAnsi="Calibri"/>
                      <w:color w:val="222222"/>
                      <w:sz w:val="19"/>
                    </w:rPr>
                    <w:t>0.8940</w:t>
                  </w:r>
                </w:p>
              </w:tc>
              <w:tc>
                <w:tcPr>
                  <w:tcW w:type="dxa" w:w="1930"/>
                  <w:shd w:val="clear" w:color="auto" w:fill="F4F7FA"/>
                </w:tcPr>
                <w:p>
                  <w:pPr>
                    <w:jc w:val="center"/>
                  </w:pPr>
                  <w:r>
                    <w:rPr>
                      <w:rFonts w:ascii="Calibri" w:hAnsi="Calibri"/>
                      <w:color w:val="222222"/>
                      <w:sz w:val="19"/>
                    </w:rPr>
                    <w:t>0.9250</w:t>
                  </w:r>
                </w:p>
              </w:tc>
              <w:tc>
                <w:tcPr>
                  <w:tcW w:type="dxa" w:w="1930"/>
                  <w:shd w:val="clear" w:color="auto" w:fill="F4F7FA"/>
                </w:tcPr>
                <w:p>
                  <w:pPr>
                    <w:jc w:val="center"/>
                  </w:pPr>
                  <w:r>
                    <w:rPr>
                      <w:rFonts w:ascii="Calibri" w:hAnsi="Calibri"/>
                      <w:color w:val="222222"/>
                      <w:sz w:val="19"/>
                    </w:rPr>
                    <w:t>0.9346 (+0.0057)</w:t>
                  </w:r>
                </w:p>
              </w:tc>
            </w:tr>
            <w:tr>
              <w:tc>
                <w:tcPr>
                  <w:tcW w:type="dxa" w:w="1930"/>
                  <w:shd w:val="clear" w:color="auto" w:fill="FFFFFF"/>
                </w:tcPr>
                <w:p>
                  <w:pPr>
                    <w:jc w:val="center"/>
                  </w:pPr>
                  <w:r>
                    <w:rPr>
                      <w:rFonts w:ascii="Calibri" w:hAnsi="Calibri"/>
                      <w:color w:val="222222"/>
                      <w:sz w:val="19"/>
                    </w:rPr>
                    <w:t>MEAN AUC-ROC (Test)</w:t>
                  </w:r>
                </w:p>
              </w:tc>
              <w:tc>
                <w:tcPr>
                  <w:tcW w:type="dxa" w:w="1930"/>
                  <w:shd w:val="clear" w:color="auto" w:fill="FFFFFF"/>
                </w:tcPr>
                <w:p>
                  <w:pPr>
                    <w:jc w:val="center"/>
                  </w:pPr>
                  <w:r>
                    <w:rPr>
                      <w:rFonts w:ascii="Calibri" w:hAnsi="Calibri"/>
                      <w:color w:val="222222"/>
                      <w:sz w:val="19"/>
                    </w:rPr>
                    <w:t>0.8201</w:t>
                  </w:r>
                </w:p>
              </w:tc>
              <w:tc>
                <w:tcPr>
                  <w:tcW w:type="dxa" w:w="1930"/>
                  <w:shd w:val="clear" w:color="auto" w:fill="FFFFFF"/>
                </w:tcPr>
                <w:p>
                  <w:pPr>
                    <w:jc w:val="center"/>
                  </w:pPr>
                  <w:r>
                    <w:rPr>
                      <w:rFonts w:ascii="Calibri" w:hAnsi="Calibri"/>
                      <w:color w:val="222222"/>
                      <w:sz w:val="19"/>
                    </w:rPr>
                    <w:t>0.8179</w:t>
                  </w:r>
                </w:p>
              </w:tc>
              <w:tc>
                <w:tcPr>
                  <w:tcW w:type="dxa" w:w="1930"/>
                  <w:shd w:val="clear" w:color="auto" w:fill="FFFFFF"/>
                </w:tcPr>
                <w:p>
                  <w:pPr>
                    <w:jc w:val="center"/>
                  </w:pPr>
                  <w:r>
                    <w:rPr>
                      <w:rFonts w:ascii="Calibri" w:hAnsi="Calibri"/>
                      <w:color w:val="222222"/>
                      <w:sz w:val="19"/>
                    </w:rPr>
                    <w:t>0.8210</w:t>
                  </w:r>
                </w:p>
              </w:tc>
              <w:tc>
                <w:tcPr>
                  <w:tcW w:type="dxa" w:w="1930"/>
                  <w:shd w:val="clear" w:color="auto" w:fill="FFFFFF"/>
                </w:tcPr>
                <w:p>
                  <w:pPr>
                    <w:jc w:val="center"/>
                  </w:pPr>
                  <w:r>
                    <w:rPr>
                      <w:rFonts w:ascii="Calibri" w:hAnsi="Calibri"/>
                      <w:color w:val="222222"/>
                      <w:sz w:val="19"/>
                    </w:rPr>
                    <w:t>🏆 0.8372 (+1.62% Boost)</w:t>
                  </w:r>
                </w:p>
              </w:tc>
            </w:tr>
          </w:tbl>
          <w:p/>
          <w:p>
            <w:pPr>
              <w:spacing w:before="0" w:after="80"/>
            </w:pPr>
          </w:p>
          <w:p>
            <w:pPr>
              <w:spacing w:before="160" w:after="60"/>
              <w:jc w:val="left"/>
            </w:pPr>
            <w:r>
              <w:rPr>
                <w:rFonts w:ascii="Calibri" w:hAnsi="Calibri"/>
                <w:b/>
                <w:color w:val="1E375A"/>
                <w:sz w:val="24"/>
              </w:rPr>
              <w:t>12.3 Global Research Benchmark Hall of Fame</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color="auto" w:fill="1E375A"/>
                </w:tcPr>
                <w:p>
                  <w:pPr>
                    <w:jc w:val="center"/>
                  </w:pPr>
                  <w:r>
                    <w:rPr>
                      <w:rFonts w:ascii="Calibri" w:hAnsi="Calibri"/>
                      <w:b/>
                      <w:color w:val="FFFFFF"/>
                      <w:sz w:val="19"/>
                    </w:rPr>
                    <w:t>Rank</w:t>
                  </w:r>
                </w:p>
              </w:tc>
              <w:tc>
                <w:tcPr>
                  <w:tcW w:type="dxa" w:w="1608"/>
                  <w:shd w:val="clear" w:color="auto" w:fill="1E375A"/>
                </w:tcPr>
                <w:p>
                  <w:pPr>
                    <w:jc w:val="center"/>
                  </w:pPr>
                  <w:r>
                    <w:rPr>
                      <w:rFonts w:ascii="Calibri" w:hAnsi="Calibri"/>
                      <w:b/>
                      <w:color w:val="FFFFFF"/>
                      <w:sz w:val="19"/>
                    </w:rPr>
                    <w:t>Model / Reference Paper</w:t>
                  </w:r>
                </w:p>
              </w:tc>
              <w:tc>
                <w:tcPr>
                  <w:tcW w:type="dxa" w:w="1608"/>
                  <w:shd w:val="clear" w:color="auto" w:fill="1E375A"/>
                </w:tcPr>
                <w:p>
                  <w:pPr>
                    <w:jc w:val="center"/>
                  </w:pPr>
                  <w:r>
                    <w:rPr>
                      <w:rFonts w:ascii="Calibri" w:hAnsi="Calibri"/>
                      <w:b/>
                      <w:color w:val="FFFFFF"/>
                      <w:sz w:val="19"/>
                    </w:rPr>
                    <w:t>Author / Developer</w:t>
                  </w:r>
                </w:p>
              </w:tc>
              <w:tc>
                <w:tcPr>
                  <w:tcW w:type="dxa" w:w="1608"/>
                  <w:shd w:val="clear" w:color="auto" w:fill="1E375A"/>
                </w:tcPr>
                <w:p>
                  <w:pPr>
                    <w:jc w:val="center"/>
                  </w:pPr>
                  <w:r>
                    <w:rPr>
                      <w:rFonts w:ascii="Calibri" w:hAnsi="Calibri"/>
                      <w:b/>
                      <w:color w:val="FFFFFF"/>
                      <w:sz w:val="19"/>
                    </w:rPr>
                    <w:t>Val AUC</w:t>
                  </w:r>
                </w:p>
              </w:tc>
              <w:tc>
                <w:tcPr>
                  <w:tcW w:type="dxa" w:w="1608"/>
                  <w:shd w:val="clear" w:color="auto" w:fill="1E375A"/>
                </w:tcPr>
                <w:p>
                  <w:pPr>
                    <w:jc w:val="center"/>
                  </w:pPr>
                  <w:r>
                    <w:rPr>
                      <w:rFonts w:ascii="Calibri" w:hAnsi="Calibri"/>
                      <w:b/>
                      <w:color w:val="FFFFFF"/>
                      <w:sz w:val="19"/>
                    </w:rPr>
                    <w:t>Year</w:t>
                  </w:r>
                </w:p>
              </w:tc>
              <w:tc>
                <w:tcPr>
                  <w:tcW w:type="dxa" w:w="1608"/>
                  <w:shd w:val="clear" w:color="auto" w:fill="1E375A"/>
                </w:tcPr>
                <w:p>
                  <w:pPr>
                    <w:jc w:val="center"/>
                  </w:pPr>
                  <w:r>
                    <w:rPr>
                      <w:rFonts w:ascii="Calibri" w:hAnsi="Calibri"/>
                      <w:b/>
                      <w:color w:val="FFFFFF"/>
                      <w:sz w:val="19"/>
                    </w:rPr>
                    <w:t>Gap vs. Stanford</w:t>
                  </w:r>
                </w:p>
              </w:tc>
            </w:tr>
            <w:tr>
              <w:tc>
                <w:tcPr>
                  <w:tcW w:type="dxa" w:w="1608"/>
                  <w:shd w:val="clear" w:color="auto" w:fill="FFFFFF"/>
                </w:tcPr>
                <w:p>
                  <w:pPr>
                    <w:jc w:val="center"/>
                  </w:pPr>
                  <w:r>
                    <w:rPr>
                      <w:rFonts w:ascii="Calibri" w:hAnsi="Calibri"/>
                      <w:color w:val="222222"/>
                      <w:sz w:val="19"/>
                    </w:rPr>
                    <w:t>🥇 1st</w:t>
                  </w:r>
                </w:p>
              </w:tc>
              <w:tc>
                <w:tcPr>
                  <w:tcW w:type="dxa" w:w="1608"/>
                  <w:shd w:val="clear" w:color="auto" w:fill="FFFFFF"/>
                </w:tcPr>
                <w:p>
                  <w:pPr>
                    <w:jc w:val="center"/>
                  </w:pPr>
                  <w:r>
                    <w:rPr>
                      <w:rFonts w:ascii="Calibri" w:hAnsi="Calibri"/>
                      <w:color w:val="222222"/>
                      <w:sz w:val="19"/>
                    </w:rPr>
                    <w:t>Our ConvNeXt-Large (This Project)</w:t>
                  </w:r>
                </w:p>
              </w:tc>
              <w:tc>
                <w:tcPr>
                  <w:tcW w:type="dxa" w:w="1608"/>
                  <w:shd w:val="clear" w:color="auto" w:fill="FFFFFF"/>
                </w:tcPr>
                <w:p>
                  <w:pPr>
                    <w:jc w:val="center"/>
                  </w:pPr>
                  <w:r>
                    <w:rPr>
                      <w:rFonts w:ascii="Calibri" w:hAnsi="Calibri"/>
                      <w:color w:val="222222"/>
                      <w:sz w:val="19"/>
                    </w:rPr>
                    <w:t>This Project</w:t>
                  </w:r>
                </w:p>
              </w:tc>
              <w:tc>
                <w:tcPr>
                  <w:tcW w:type="dxa" w:w="1608"/>
                  <w:shd w:val="clear" w:color="auto" w:fill="FFFFFF"/>
                </w:tcPr>
                <w:p>
                  <w:pPr>
                    <w:jc w:val="center"/>
                  </w:pPr>
                  <w:r>
                    <w:rPr>
                      <w:rFonts w:ascii="Calibri" w:hAnsi="Calibri"/>
                      <w:color w:val="222222"/>
                      <w:sz w:val="19"/>
                    </w:rPr>
                    <w:t>85.24%</w:t>
                  </w:r>
                </w:p>
              </w:tc>
              <w:tc>
                <w:tcPr>
                  <w:tcW w:type="dxa" w:w="1608"/>
                  <w:shd w:val="clear" w:color="auto" w:fill="FFFFFF"/>
                </w:tcPr>
                <w:p>
                  <w:pPr>
                    <w:jc w:val="center"/>
                  </w:pPr>
                  <w:r>
                    <w:rPr>
                      <w:rFonts w:ascii="Calibri" w:hAnsi="Calibri"/>
                      <w:color w:val="222222"/>
                      <w:sz w:val="19"/>
                    </w:rPr>
                    <w:t>2026</w:t>
                  </w:r>
                </w:p>
              </w:tc>
              <w:tc>
                <w:tcPr>
                  <w:tcW w:type="dxa" w:w="1608"/>
                  <w:shd w:val="clear" w:color="auto" w:fill="FFFFFF"/>
                </w:tcPr>
                <w:p>
                  <w:pPr>
                    <w:jc w:val="center"/>
                  </w:pPr>
                  <w:r>
                    <w:rPr>
                      <w:rFonts w:ascii="Calibri" w:hAnsi="Calibri"/>
                      <w:color w:val="222222"/>
                      <w:sz w:val="19"/>
                    </w:rPr>
                    <w:t>+1.11%</w:t>
                  </w:r>
                </w:p>
              </w:tc>
            </w:tr>
            <w:tr>
              <w:tc>
                <w:tcPr>
                  <w:tcW w:type="dxa" w:w="1608"/>
                  <w:shd w:val="clear" w:color="auto" w:fill="F4F7FA"/>
                </w:tcPr>
                <w:p>
                  <w:pPr>
                    <w:jc w:val="center"/>
                  </w:pPr>
                  <w:r>
                    <w:rPr>
                      <w:rFonts w:ascii="Calibri" w:hAnsi="Calibri"/>
                      <w:color w:val="222222"/>
                      <w:sz w:val="19"/>
                    </w:rPr>
                    <w:t>🥈 2nd</w:t>
                  </w:r>
                </w:p>
              </w:tc>
              <w:tc>
                <w:tcPr>
                  <w:tcW w:type="dxa" w:w="1608"/>
                  <w:shd w:val="clear" w:color="auto" w:fill="F4F7FA"/>
                </w:tcPr>
                <w:p>
                  <w:pPr>
                    <w:jc w:val="center"/>
                  </w:pPr>
                  <w:r>
                    <w:rPr>
                      <w:rFonts w:ascii="Calibri" w:hAnsi="Calibri"/>
                      <w:color w:val="222222"/>
                      <w:sz w:val="19"/>
                    </w:rPr>
                    <w:t>Our CheXNet Fine-Tuned (This Project)</w:t>
                  </w:r>
                </w:p>
              </w:tc>
              <w:tc>
                <w:tcPr>
                  <w:tcW w:type="dxa" w:w="1608"/>
                  <w:shd w:val="clear" w:color="auto" w:fill="F4F7FA"/>
                </w:tcPr>
                <w:p>
                  <w:pPr>
                    <w:jc w:val="center"/>
                  </w:pPr>
                  <w:r>
                    <w:rPr>
                      <w:rFonts w:ascii="Calibri" w:hAnsi="Calibri"/>
                      <w:color w:val="222222"/>
                      <w:sz w:val="19"/>
                    </w:rPr>
                    <w:t>This Project</w:t>
                  </w:r>
                </w:p>
              </w:tc>
              <w:tc>
                <w:tcPr>
                  <w:tcW w:type="dxa" w:w="1608"/>
                  <w:shd w:val="clear" w:color="auto" w:fill="F4F7FA"/>
                </w:tcPr>
                <w:p>
                  <w:pPr>
                    <w:jc w:val="center"/>
                  </w:pPr>
                  <w:r>
                    <w:rPr>
                      <w:rFonts w:ascii="Calibri" w:hAnsi="Calibri"/>
                      <w:color w:val="222222"/>
                      <w:sz w:val="19"/>
                    </w:rPr>
                    <w:t>85.10%</w:t>
                  </w:r>
                </w:p>
              </w:tc>
              <w:tc>
                <w:tcPr>
                  <w:tcW w:type="dxa" w:w="1608"/>
                  <w:shd w:val="clear" w:color="auto" w:fill="F4F7FA"/>
                </w:tcPr>
                <w:p>
                  <w:pPr>
                    <w:jc w:val="center"/>
                  </w:pPr>
                  <w:r>
                    <w:rPr>
                      <w:rFonts w:ascii="Calibri" w:hAnsi="Calibri"/>
                      <w:color w:val="222222"/>
                      <w:sz w:val="19"/>
                    </w:rPr>
                    <w:t>2026</w:t>
                  </w:r>
                </w:p>
              </w:tc>
              <w:tc>
                <w:tcPr>
                  <w:tcW w:type="dxa" w:w="1608"/>
                  <w:shd w:val="clear" w:color="auto" w:fill="F4F7FA"/>
                </w:tcPr>
                <w:p>
                  <w:pPr>
                    <w:jc w:val="center"/>
                  </w:pPr>
                  <w:r>
                    <w:rPr>
                      <w:rFonts w:ascii="Calibri" w:hAnsi="Calibri"/>
                      <w:color w:val="222222"/>
                      <w:sz w:val="19"/>
                    </w:rPr>
                    <w:t>+0.97%</w:t>
                  </w:r>
                </w:p>
              </w:tc>
            </w:tr>
            <w:tr>
              <w:tc>
                <w:tcPr>
                  <w:tcW w:type="dxa" w:w="1608"/>
                  <w:shd w:val="clear" w:color="auto" w:fill="FFFFFF"/>
                </w:tcPr>
                <w:p>
                  <w:pPr>
                    <w:jc w:val="center"/>
                  </w:pPr>
                  <w:r>
                    <w:rPr>
                      <w:rFonts w:ascii="Calibri" w:hAnsi="Calibri"/>
                      <w:color w:val="222222"/>
                      <w:sz w:val="19"/>
                    </w:rPr>
                    <w:t>🥉 3rd</w:t>
                  </w:r>
                </w:p>
              </w:tc>
              <w:tc>
                <w:tcPr>
                  <w:tcW w:type="dxa" w:w="1608"/>
                  <w:shd w:val="clear" w:color="auto" w:fill="FFFFFF"/>
                </w:tcPr>
                <w:p>
                  <w:pPr>
                    <w:jc w:val="center"/>
                  </w:pPr>
                  <w:r>
                    <w:rPr>
                      <w:rFonts w:ascii="Calibri" w:hAnsi="Calibri"/>
                      <w:color w:val="222222"/>
                      <w:sz w:val="19"/>
                    </w:rPr>
                    <w:t>Our DenseNet-121 (This Project)</w:t>
                  </w:r>
                </w:p>
              </w:tc>
              <w:tc>
                <w:tcPr>
                  <w:tcW w:type="dxa" w:w="1608"/>
                  <w:shd w:val="clear" w:color="auto" w:fill="FFFFFF"/>
                </w:tcPr>
                <w:p>
                  <w:pPr>
                    <w:jc w:val="center"/>
                  </w:pPr>
                  <w:r>
                    <w:rPr>
                      <w:rFonts w:ascii="Calibri" w:hAnsi="Calibri"/>
                      <w:color w:val="222222"/>
                      <w:sz w:val="19"/>
                    </w:rPr>
                    <w:t>This Project</w:t>
                  </w:r>
                </w:p>
              </w:tc>
              <w:tc>
                <w:tcPr>
                  <w:tcW w:type="dxa" w:w="1608"/>
                  <w:shd w:val="clear" w:color="auto" w:fill="FFFFFF"/>
                </w:tcPr>
                <w:p>
                  <w:pPr>
                    <w:jc w:val="center"/>
                  </w:pPr>
                  <w:r>
                    <w:rPr>
                      <w:rFonts w:ascii="Calibri" w:hAnsi="Calibri"/>
                      <w:color w:val="222222"/>
                      <w:sz w:val="19"/>
                    </w:rPr>
                    <w:t>84.75%</w:t>
                  </w:r>
                </w:p>
              </w:tc>
              <w:tc>
                <w:tcPr>
                  <w:tcW w:type="dxa" w:w="1608"/>
                  <w:shd w:val="clear" w:color="auto" w:fill="FFFFFF"/>
                </w:tcPr>
                <w:p>
                  <w:pPr>
                    <w:jc w:val="center"/>
                  </w:pPr>
                  <w:r>
                    <w:rPr>
                      <w:rFonts w:ascii="Calibri" w:hAnsi="Calibri"/>
                      <w:color w:val="222222"/>
                      <w:sz w:val="19"/>
                    </w:rPr>
                    <w:t>2026</w:t>
                  </w:r>
                </w:p>
              </w:tc>
              <w:tc>
                <w:tcPr>
                  <w:tcW w:type="dxa" w:w="1608"/>
                  <w:shd w:val="clear" w:color="auto" w:fill="FFFFFF"/>
                </w:tcPr>
                <w:p>
                  <w:pPr>
                    <w:jc w:val="center"/>
                  </w:pPr>
                  <w:r>
                    <w:rPr>
                      <w:rFonts w:ascii="Calibri" w:hAnsi="Calibri"/>
                      <w:color w:val="222222"/>
                      <w:sz w:val="19"/>
                    </w:rPr>
                    <w:t>+0.62%</w:t>
                  </w:r>
                </w:p>
              </w:tc>
            </w:tr>
            <w:tr>
              <w:tc>
                <w:tcPr>
                  <w:tcW w:type="dxa" w:w="1608"/>
                  <w:shd w:val="clear" w:color="auto" w:fill="F4F7FA"/>
                </w:tcPr>
                <w:p>
                  <w:pPr>
                    <w:jc w:val="center"/>
                  </w:pPr>
                  <w:r>
                    <w:rPr>
                      <w:rFonts w:ascii="Calibri" w:hAnsi="Calibri"/>
                      <w:color w:val="222222"/>
                      <w:sz w:val="19"/>
                    </w:rPr>
                    <w:t>4th</w:t>
                  </w:r>
                </w:p>
              </w:tc>
              <w:tc>
                <w:tcPr>
                  <w:tcW w:type="dxa" w:w="1608"/>
                  <w:shd w:val="clear" w:color="auto" w:fill="F4F7FA"/>
                </w:tcPr>
                <w:p>
                  <w:pPr>
                    <w:jc w:val="center"/>
                  </w:pPr>
                  <w:r>
                    <w:rPr>
                      <w:rFonts w:ascii="Calibri" w:hAnsi="Calibri"/>
                      <w:color w:val="222222"/>
                      <w:sz w:val="19"/>
                    </w:rPr>
                    <w:t>Our Swin-T Transformer (This Project)</w:t>
                  </w:r>
                </w:p>
              </w:tc>
              <w:tc>
                <w:tcPr>
                  <w:tcW w:type="dxa" w:w="1608"/>
                  <w:shd w:val="clear" w:color="auto" w:fill="F4F7FA"/>
                </w:tcPr>
                <w:p>
                  <w:pPr>
                    <w:jc w:val="center"/>
                  </w:pPr>
                  <w:r>
                    <w:rPr>
                      <w:rFonts w:ascii="Calibri" w:hAnsi="Calibri"/>
                      <w:color w:val="222222"/>
                      <w:sz w:val="19"/>
                    </w:rPr>
                    <w:t>This Project</w:t>
                  </w:r>
                </w:p>
              </w:tc>
              <w:tc>
                <w:tcPr>
                  <w:tcW w:type="dxa" w:w="1608"/>
                  <w:shd w:val="clear" w:color="auto" w:fill="F4F7FA"/>
                </w:tcPr>
                <w:p>
                  <w:pPr>
                    <w:jc w:val="center"/>
                  </w:pPr>
                  <w:r>
                    <w:rPr>
                      <w:rFonts w:ascii="Calibri" w:hAnsi="Calibri"/>
                      <w:color w:val="222222"/>
                      <w:sz w:val="19"/>
                    </w:rPr>
                    <w:t>84.47%</w:t>
                  </w:r>
                </w:p>
              </w:tc>
              <w:tc>
                <w:tcPr>
                  <w:tcW w:type="dxa" w:w="1608"/>
                  <w:shd w:val="clear" w:color="auto" w:fill="F4F7FA"/>
                </w:tcPr>
                <w:p>
                  <w:pPr>
                    <w:jc w:val="center"/>
                  </w:pPr>
                  <w:r>
                    <w:rPr>
                      <w:rFonts w:ascii="Calibri" w:hAnsi="Calibri"/>
                      <w:color w:val="222222"/>
                      <w:sz w:val="19"/>
                    </w:rPr>
                    <w:t>2026</w:t>
                  </w:r>
                </w:p>
              </w:tc>
              <w:tc>
                <w:tcPr>
                  <w:tcW w:type="dxa" w:w="1608"/>
                  <w:shd w:val="clear" w:color="auto" w:fill="F4F7FA"/>
                </w:tcPr>
                <w:p>
                  <w:pPr>
                    <w:jc w:val="center"/>
                  </w:pPr>
                  <w:r>
                    <w:rPr>
                      <w:rFonts w:ascii="Calibri" w:hAnsi="Calibri"/>
                      <w:color w:val="222222"/>
                      <w:sz w:val="19"/>
                    </w:rPr>
                    <w:t>+0.34%</w:t>
                  </w:r>
                </w:p>
              </w:tc>
            </w:tr>
            <w:tr>
              <w:tc>
                <w:tcPr>
                  <w:tcW w:type="dxa" w:w="1608"/>
                  <w:shd w:val="clear" w:color="auto" w:fill="FFFFFF"/>
                </w:tcPr>
                <w:p>
                  <w:pPr>
                    <w:jc w:val="center"/>
                  </w:pPr>
                  <w:r>
                    <w:rPr>
                      <w:rFonts w:ascii="Calibri" w:hAnsi="Calibri"/>
                      <w:color w:val="222222"/>
                      <w:sz w:val="19"/>
                    </w:rPr>
                    <w:t>5th</w:t>
                  </w:r>
                </w:p>
              </w:tc>
              <w:tc>
                <w:tcPr>
                  <w:tcW w:type="dxa" w:w="1608"/>
                  <w:shd w:val="clear" w:color="auto" w:fill="FFFFFF"/>
                </w:tcPr>
                <w:p>
                  <w:pPr>
                    <w:jc w:val="center"/>
                  </w:pPr>
                  <w:r>
                    <w:rPr>
                      <w:rFonts w:ascii="Calibri" w:hAnsi="Calibri"/>
                      <w:color w:val="222222"/>
                      <w:sz w:val="19"/>
                    </w:rPr>
                    <w:t>CheXNet (Stanford Paper)</w:t>
                  </w:r>
                </w:p>
              </w:tc>
              <w:tc>
                <w:tcPr>
                  <w:tcW w:type="dxa" w:w="1608"/>
                  <w:shd w:val="clear" w:color="auto" w:fill="FFFFFF"/>
                </w:tcPr>
                <w:p>
                  <w:pPr>
                    <w:jc w:val="center"/>
                  </w:pPr>
                  <w:r>
                    <w:rPr>
                      <w:rFonts w:ascii="Calibri" w:hAnsi="Calibri"/>
                      <w:color w:val="222222"/>
                      <w:sz w:val="19"/>
                    </w:rPr>
                    <w:t>Rajpurkar et al.</w:t>
                  </w:r>
                </w:p>
              </w:tc>
              <w:tc>
                <w:tcPr>
                  <w:tcW w:type="dxa" w:w="1608"/>
                  <w:shd w:val="clear" w:color="auto" w:fill="FFFFFF"/>
                </w:tcPr>
                <w:p>
                  <w:pPr>
                    <w:jc w:val="center"/>
                  </w:pPr>
                  <w:r>
                    <w:rPr>
                      <w:rFonts w:ascii="Calibri" w:hAnsi="Calibri"/>
                      <w:color w:val="222222"/>
                      <w:sz w:val="19"/>
                    </w:rPr>
                    <w:t>84.13%</w:t>
                  </w:r>
                </w:p>
              </w:tc>
              <w:tc>
                <w:tcPr>
                  <w:tcW w:type="dxa" w:w="1608"/>
                  <w:shd w:val="clear" w:color="auto" w:fill="FFFFFF"/>
                </w:tcPr>
                <w:p>
                  <w:pPr>
                    <w:jc w:val="center"/>
                  </w:pPr>
                  <w:r>
                    <w:rPr>
                      <w:rFonts w:ascii="Calibri" w:hAnsi="Calibri"/>
                      <w:color w:val="222222"/>
                      <w:sz w:val="19"/>
                    </w:rPr>
                    <w:t>2017</w:t>
                  </w:r>
                </w:p>
              </w:tc>
              <w:tc>
                <w:tcPr>
                  <w:tcW w:type="dxa" w:w="1608"/>
                  <w:shd w:val="clear" w:color="auto" w:fill="FFFFFF"/>
                </w:tcPr>
                <w:p>
                  <w:pPr>
                    <w:jc w:val="center"/>
                  </w:pPr>
                  <w:r>
                    <w:rPr>
                      <w:rFonts w:ascii="Calibri" w:hAnsi="Calibri"/>
                      <w:color w:val="222222"/>
                      <w:sz w:val="19"/>
                    </w:rPr>
                    <w:t>Reference Baseline</w:t>
                  </w:r>
                </w:p>
              </w:tc>
            </w:tr>
            <w:tr>
              <w:tc>
                <w:tcPr>
                  <w:tcW w:type="dxa" w:w="1608"/>
                  <w:shd w:val="clear" w:color="auto" w:fill="F4F7FA"/>
                </w:tcPr>
                <w:p>
                  <w:pPr>
                    <w:jc w:val="center"/>
                  </w:pPr>
                  <w:r>
                    <w:rPr>
                      <w:rFonts w:ascii="Calibri" w:hAnsi="Calibri"/>
                      <w:color w:val="222222"/>
                      <w:sz w:val="19"/>
                    </w:rPr>
                    <w:t>6th</w:t>
                  </w:r>
                </w:p>
              </w:tc>
              <w:tc>
                <w:tcPr>
                  <w:tcW w:type="dxa" w:w="1608"/>
                  <w:shd w:val="clear" w:color="auto" w:fill="F4F7FA"/>
                </w:tcPr>
                <w:p>
                  <w:pPr>
                    <w:jc w:val="center"/>
                  </w:pPr>
                  <w:r>
                    <w:rPr>
                      <w:rFonts w:ascii="Calibri" w:hAnsi="Calibri"/>
                      <w:color w:val="222222"/>
                      <w:sz w:val="19"/>
                    </w:rPr>
                    <w:t>NIH Baseline Paper</w:t>
                  </w:r>
                </w:p>
              </w:tc>
              <w:tc>
                <w:tcPr>
                  <w:tcW w:type="dxa" w:w="1608"/>
                  <w:shd w:val="clear" w:color="auto" w:fill="F4F7FA"/>
                </w:tcPr>
                <w:p>
                  <w:pPr>
                    <w:jc w:val="center"/>
                  </w:pPr>
                  <w:r>
                    <w:rPr>
                      <w:rFonts w:ascii="Calibri" w:hAnsi="Calibri"/>
                      <w:color w:val="222222"/>
                      <w:sz w:val="19"/>
                    </w:rPr>
                    <w:t>Wang et al.</w:t>
                  </w:r>
                </w:p>
              </w:tc>
              <w:tc>
                <w:tcPr>
                  <w:tcW w:type="dxa" w:w="1608"/>
                  <w:shd w:val="clear" w:color="auto" w:fill="F4F7FA"/>
                </w:tcPr>
                <w:p>
                  <w:pPr>
                    <w:jc w:val="center"/>
                  </w:pPr>
                  <w:r>
                    <w:rPr>
                      <w:rFonts w:ascii="Calibri" w:hAnsi="Calibri"/>
                      <w:color w:val="222222"/>
                      <w:sz w:val="19"/>
                    </w:rPr>
                    <w:t>74.51%</w:t>
                  </w:r>
                </w:p>
              </w:tc>
              <w:tc>
                <w:tcPr>
                  <w:tcW w:type="dxa" w:w="1608"/>
                  <w:shd w:val="clear" w:color="auto" w:fill="F4F7FA"/>
                </w:tcPr>
                <w:p>
                  <w:pPr>
                    <w:jc w:val="center"/>
                  </w:pPr>
                  <w:r>
                    <w:rPr>
                      <w:rFonts w:ascii="Calibri" w:hAnsi="Calibri"/>
                      <w:color w:val="222222"/>
                      <w:sz w:val="19"/>
                    </w:rPr>
                    <w:t>2017</w:t>
                  </w:r>
                </w:p>
              </w:tc>
              <w:tc>
                <w:tcPr>
                  <w:tcW w:type="dxa" w:w="1608"/>
                  <w:shd w:val="clear" w:color="auto" w:fill="F4F7FA"/>
                </w:tcPr>
                <w:p>
                  <w:pPr>
                    <w:jc w:val="center"/>
                  </w:pPr>
                  <w:r>
                    <w:rPr>
                      <w:rFonts w:ascii="Calibri" w:hAnsi="Calibri"/>
                      <w:color w:val="222222"/>
                      <w:sz w:val="19"/>
                    </w:rPr>
                    <w:t>-9.62%</w:t>
                  </w:r>
                </w:p>
              </w:tc>
            </w:tr>
          </w:tbl>
          <w:p/>
          <w:p>
            <w:pPr>
              <w:spacing w:before="0" w:after="80"/>
            </w:pPr>
          </w:p>
          <w:p>
            <w:pPr>
              <w:spacing w:before="160" w:after="60"/>
              <w:jc w:val="left"/>
            </w:pPr>
            <w:r>
              <w:rPr>
                <w:rFonts w:ascii="Calibri" w:hAnsi="Calibri"/>
                <w:b/>
                <w:color w:val="1E375A"/>
                <w:sz w:val="24"/>
              </w:rPr>
              <w:t>12.4 Concluding Summary</w:t>
            </w:r>
          </w:p>
          <w:p>
            <w:pPr>
              <w:spacing w:before="40" w:after="100" w:line="276" w:lineRule="auto"/>
              <w:jc w:val="both"/>
            </w:pPr>
            <w:r>
              <w:rPr>
                <w:rFonts w:ascii="Calibri" w:hAnsi="Calibri"/>
                <w:color w:val="222222"/>
                <w:sz w:val="22"/>
              </w:rPr>
              <w:t>This project successfully developed, optimized, and evaluated a state-of-the-art multi-label chest radiograph classification framework that systematically outperforms the landmark Stanford CheXNet benchmark across all four fine-tuned model architectures. By introducing five core engineering pillars — 448×448px input resolution, square-root damped loss weighting, backbone freeze warmup, exposure jitter augmentation, and float16 AMP precision — the pipeline elevated single-model performance to a project record validation AUC of 85.24% (ConvNeXt-Large).</w:t>
            </w:r>
          </w:p>
          <w:p>
            <w:pPr>
              <w:spacing w:before="40" w:after="100" w:line="276" w:lineRule="auto"/>
              <w:jc w:val="both"/>
            </w:pPr>
            <w:r>
              <w:rPr>
                <w:rFonts w:ascii="Calibri" w:hAnsi="Calibri"/>
                <w:color w:val="222222"/>
                <w:sz w:val="22"/>
              </w:rPr>
              <w:t>A 4-Model Weighted Soft-Voting Ensemble with Test-Time Augmentation (TTA) achieved a Mean Test-Set AUC of 83.72% across all 25,596 unseen patient test scans, delivering consistent performance gains over single models on 12 of 14 pathologies. The integration of Grad-CAM Explainable AI ensures clinical transparency for both CNN and Vision Transformer backbones. The complete pipeline is open-source, fully documented, and reproducible on standard GPU hardware, providing a robust foundation for future clinical AI research.</w:t>
            </w:r>
          </w:p>
        </w:tc>
      </w:tr>
    </w:tbl>
    <w:p w:rsidR="00A45CBE" w:rsidRDefault="00A45CBE"/>
    <w:p w:rsidR="006D4805" w:rsidRDefault="006D4805">
      <w:pPr>
        <w:pStyle w:val="Heading1"/>
      </w:pPr>
    </w:p>
    <w:p w:rsidR="00A45CBE" w:rsidRDefault="009D1297">
      <w:pPr>
        <w:pStyle w:val="Heading1"/>
      </w:pPr>
      <w:r>
        <w:t>13</w:t>
      </w:r>
      <w:r w:rsidR="004873B5">
        <w:t>. References</w:t>
      </w:r>
    </w:p>
    <w:tbl>
      <w:tblPr>
        <w:tblW w:w="0" w:type="auto"/>
        <w:jc w:val="center"/>
        <w:tblLayout w:type="fixed"/>
        <w:tblLook w:val="04A0" w:firstRow="1" w:lastRow="0" w:firstColumn="1" w:lastColumn="0" w:noHBand="0" w:noVBand="1"/>
      </w:tblPr>
      <w:tblGrid>
        <w:gridCol w:w="9648"/>
      </w:tblGrid>
      <w:tr w:rsidR="00A45CBE">
        <w:trPr>
          <w:jc w:val="center"/>
        </w:trPr>
        <w:tc>
          <w:tcPr>
            <w:tcW w:w="9648" w:type="dxa"/>
            <w:shd w:val="clear" w:color="auto" w:fill="F5F7FA"/>
            <w:tcMar>
              <w:top w:w="120" w:type="dxa"/>
              <w:left w:w="140" w:type="dxa"/>
              <w:bottom w:w="120" w:type="dxa"/>
              <w:right w:w="140" w:type="dxa"/>
            </w:tcMar>
            <w:vAlign w:val="center"/>
          </w:tcPr>
          <w:p>
            <w:pPr>
              <w:spacing w:before="160" w:after="60"/>
              <w:jc w:val="left"/>
            </w:pPr>
            <w:r>
              <w:rPr>
                <w:rFonts w:ascii="Calibri" w:hAnsi="Calibri"/>
                <w:b/>
                <w:color w:val="1E375A"/>
                <w:sz w:val="24"/>
              </w:rPr>
              <w:t>13.1 Academic References (IEEE Style)</w:t>
            </w:r>
          </w:p>
          <w:p>
            <w:pPr>
              <w:spacing w:before="40" w:after="100" w:line="276" w:lineRule="auto"/>
              <w:jc w:val="both"/>
            </w:pPr>
            <w:r>
              <w:rPr>
                <w:rFonts w:ascii="Calibri" w:hAnsi="Calibri"/>
                <w:color w:val="222222"/>
                <w:sz w:val="22"/>
              </w:rPr>
              <w:t>All cited literature, datasets, frameworks, and project repositories follow standard IEEE academic citation format:</w:t>
            </w:r>
          </w:p>
        </w:tc>
      </w:tr>
    </w:tbl>
    <w:p w:rsidR="00A45CBE" w:rsidRDefault="00A45CBE"/>
    <w:p w:rsidR="00A45CBE" w:rsidRDefault="004873B5">
      <w:r>
        <w:rPr>
          <w:b/>
          <w:sz w:val="22"/>
        </w:rPr>
        <w:t>References List</w:t>
      </w:r>
    </w:p>
    <w:p w:rsidR="00A45CBE" w:rsidRDefault="004873B5">
      <w:pPr>
        <w:spacing w:after="160"/>
        <w:ind w:left="432" w:hanging="432"/>
        <w:jc w:val="both"/>
      </w:pPr>
      <w:r>
        <w:rPr>
          <w:rFonts w:ascii="Calibri" w:hAnsi="Calibri"/>
          <w:sz w:val="20"/>
        </w:rPr>
        <w:t>[1] X. Wang, Y. Peng, L. Lu, Z. Lu, M. Bagheri, and R. M. Summers, "ChestX-ray8: Hospital-Scale Chest X-Ray Database and Benchmarks," in Proc. IEEE Conf. Comput. Vis. Pattern Recog. (CVPR), 2017, pp. 2097–2106.</w:t>
      </w:r>
    </w:p>
    <w:p w:rsidR="00A45CBE" w:rsidRDefault="004873B5">
      <w:pPr>
        <w:spacing w:after="160"/>
        <w:ind w:left="432" w:hanging="432"/>
        <w:jc w:val="both"/>
      </w:pPr>
      <w:r>
        <w:rPr>
          <w:rFonts w:ascii="Calibri" w:hAnsi="Calibri"/>
          <w:sz w:val="20"/>
        </w:rPr>
        <w:t>[2] P. Rajpurkar, J. Irvin, K. Zhu, B. Yang, H. Mehta, T. Duan, D. Ding, A. Bagul, C. Langlotz, K. Shpanskaya, M. P. Lungren, and A. Y. Ng, "CheXNet: Radiologist-Level Pneumonia Detection on Chest X-Rays with Deep Learning," arXiv preprint arXiv:1711.05225, Stanford University, 2017.</w:t>
      </w:r>
    </w:p>
    <w:p w:rsidR="004873B5" w:rsidRDefault="004873B5">
      <w:bookmarkStart w:id="0" w:name="_GoBack"/>
      <w:bookmarkEnd w:id="0"/>
    </w:p>
    <w:p>
      <w:pPr>
        <w:spacing w:after="80"/>
        <w:ind w:left="432" w:hanging="432"/>
        <w:jc w:val="both"/>
      </w:pPr>
      <w:r>
        <w:rPr>
          <w:rFonts w:ascii="Calibri" w:hAnsi="Calibri"/>
          <w:sz w:val="20"/>
        </w:rPr>
        <w:t>[3] G. Huang, Z. Liu, L. Van Der Maaten, and K. Q. Weinberger, "Densely Connected Convolutional Networks," in Proc. IEEE Conf. Comput. Vis. Pattern Recog. (CVPR), 2017, pp. 4700–4708.</w:t>
      </w:r>
    </w:p>
    <w:p>
      <w:pPr>
        <w:spacing w:after="80"/>
        <w:ind w:left="432" w:hanging="432"/>
        <w:jc w:val="both"/>
      </w:pPr>
      <w:r>
        <w:rPr>
          <w:rFonts w:ascii="Calibri" w:hAnsi="Calibri"/>
          <w:sz w:val="20"/>
        </w:rPr>
        <w:t>[4] Z. Liu, Y. Lin, Y. Cao, H. Hu, Y. Wei, Z. Zhang, S. Lin, and B. Guo, "Swin Transformer: Hierarchical Vision Transformer using Shifted Windows," in Proc. IEEE/CVF Int. Conf. Comput. Vis. (ICCV), 2021, pp. 10012–10022.</w:t>
      </w:r>
    </w:p>
    <w:p>
      <w:pPr>
        <w:spacing w:after="80"/>
        <w:ind w:left="432" w:hanging="432"/>
        <w:jc w:val="both"/>
      </w:pPr>
      <w:r>
        <w:rPr>
          <w:rFonts w:ascii="Calibri" w:hAnsi="Calibri"/>
          <w:sz w:val="20"/>
        </w:rPr>
        <w:t>[5] Z. Liu, H. Mao, C.-Y. Wu, C. Feichtenhofer, T. Darrell, and S. Xie, "A ConvNet for the 2020s," in Proc. IEEE/CVF Conf. Comput. Vis. Pattern Recog. (CVPR), 2022, pp. 11976–11986.</w:t>
      </w:r>
    </w:p>
    <w:p>
      <w:pPr>
        <w:spacing w:after="80"/>
        <w:ind w:left="432" w:hanging="432"/>
        <w:jc w:val="both"/>
      </w:pPr>
      <w:r>
        <w:rPr>
          <w:rFonts w:ascii="Calibri" w:hAnsi="Calibri"/>
          <w:sz w:val="20"/>
        </w:rPr>
        <w:t>[6] M. Tan and Q. Le, "EfficientNet: Rethinking Model Scaling for Convolutional Neural Networks," in Proc. Int. Conf. Mach. Learn. (ICML), 2019, pp. 6105–6114.</w:t>
      </w:r>
    </w:p>
    <w:p>
      <w:pPr>
        <w:spacing w:after="80"/>
        <w:ind w:left="432" w:hanging="432"/>
        <w:jc w:val="both"/>
      </w:pPr>
      <w:r>
        <w:rPr>
          <w:rFonts w:ascii="Calibri" w:hAnsi="Calibri"/>
          <w:sz w:val="20"/>
        </w:rPr>
        <w:t>[7] R. R. Selvaraju, M. Cogswell, A. Das, R. Vedantam, D. Parikh, and D. Batra, "Grad-CAM: Visual Explanations from Deep Networks via Gradient-Based Localization," in Proc. IEEE Int. Conf. Comput. Vis. (ICCV), 2017, pp. 618–626.</w:t>
      </w:r>
    </w:p>
    <w:p>
      <w:pPr>
        <w:spacing w:after="80"/>
        <w:ind w:left="432" w:hanging="432"/>
        <w:jc w:val="both"/>
      </w:pPr>
      <w:r>
        <w:rPr>
          <w:rFonts w:ascii="Calibri" w:hAnsi="Calibri"/>
          <w:sz w:val="20"/>
        </w:rPr>
        <w:t>[8] L. Seyyed-Kalantari, G. Liu, M. McDermott, I. Y. Chen, and M. Ghassemi, "CheXclusion: Fairness Gaps in Deep Chest X-Ray Classifiers," in Proc. Pacific Symp. Biocomput. (PSB), vol. 26, 2021, pp. 232–243.</w:t>
      </w:r>
    </w:p>
    <w:p>
      <w:pPr>
        <w:spacing w:after="80"/>
        <w:ind w:left="432" w:hanging="432"/>
        <w:jc w:val="both"/>
      </w:pPr>
      <w:r>
        <w:rPr>
          <w:rFonts w:ascii="Calibri" w:hAnsi="Calibri"/>
          <w:sz w:val="20"/>
        </w:rPr>
        <w:t>[9] P. Micikevicius, S. Narang, J. Alben, G. Diamos, E. Elsen, D. Garcia, B. Ginsburg, M. Houston, O. Kuchaiev, G. Venkatesh, and H. Wu, "Mixed Precision Training," in Int. Conf. Learn. Represent. (ICLR), 2018.</w:t>
      </w:r>
    </w:p>
    <w:p>
      <w:pPr>
        <w:spacing w:after="80"/>
        <w:ind w:left="432" w:hanging="432"/>
        <w:jc w:val="both"/>
      </w:pPr>
      <w:r>
        <w:rPr>
          <w:rFonts w:ascii="Calibri" w:hAnsi="Calibri"/>
          <w:sz w:val="20"/>
        </w:rPr>
        <w:t>[10] I. Loshchilov and F. Hutter, "Decoupled Weight Decay Regularization," in Int. Conf. Learn. Represent. (ICLR), 2019.</w:t>
      </w:r>
    </w:p>
    <w:p>
      <w:pPr>
        <w:spacing w:after="80"/>
        <w:ind w:left="432" w:hanging="432"/>
        <w:jc w:val="both"/>
      </w:pPr>
      <w:r>
        <w:rPr>
          <w:rFonts w:ascii="Calibri" w:hAnsi="Calibri"/>
          <w:sz w:val="20"/>
        </w:rPr>
        <w:t>[11] M. Egyptian, "chestxray14: State-of-the-Art Multi-Label Chest X-Ray Classification (Surpassing Stanford CheXNet — 85.24% AUC)," GitHub Repository, 2026. [Online]. Available: https://github.com/markegyptian55-cloud/chestxray14</w:t>
      </w:r>
    </w:p>
    <w:p>
      <w:pPr>
        <w:spacing w:after="80"/>
        <w:ind w:left="432" w:hanging="432"/>
        <w:jc w:val="both"/>
      </w:pPr>
      <w:r>
        <w:rPr>
          <w:rFonts w:ascii="Calibri" w:hAnsi="Calibri"/>
          <w:sz w:val="20"/>
        </w:rPr>
        <w:t>[12] NIH Clinical Center, "NIH ChestX-ray14 Dataset," National Institutes of Health, 2017. [Online]. Available: https://nihcc.app.box.com/v/ChestXray-NIHCC</w:t>
      </w:r>
    </w:p>
    <w:sectPr w:rsidR="004873B5" w:rsidSect="00034616">
      <w:footerReference w:type="default" r:id="rId8"/>
      <w:pgSz w:w="12240" w:h="15840"/>
      <w:pgMar w:top="1152" w:right="1296" w:bottom="1008"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73B5" w:rsidRDefault="004873B5">
      <w:pPr>
        <w:spacing w:after="0" w:line="240" w:lineRule="auto"/>
      </w:pPr>
      <w:r>
        <w:separator/>
      </w:r>
    </w:p>
  </w:endnote>
  <w:endnote w:type="continuationSeparator" w:id="0">
    <w:p w:rsidR="004873B5" w:rsidRDefault="004873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5CBE" w:rsidRDefault="004873B5">
    <w:pPr>
      <w:pStyle w:val="Footer"/>
      <w:jc w:val="center"/>
    </w:pPr>
    <w:r>
      <w:rPr>
        <w:color w:val="787878"/>
        <w:sz w:val="18"/>
      </w:rPr>
      <w:t>Graduation Project Proposal Template</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73B5" w:rsidRDefault="004873B5">
      <w:pPr>
        <w:spacing w:after="0" w:line="240" w:lineRule="auto"/>
      </w:pPr>
      <w:r>
        <w:separator/>
      </w:r>
    </w:p>
  </w:footnote>
  <w:footnote w:type="continuationSeparator" w:id="0">
    <w:p w:rsidR="004873B5" w:rsidRDefault="004873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873B5"/>
    <w:rsid w:val="006D4805"/>
    <w:rsid w:val="009D1297"/>
    <w:rsid w:val="00A45C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B5F95"/>
  <w14:defaultImageDpi w14:val="300"/>
  <w15:docId w15:val="{8A8C700F-59C2-45D7-B381-3A1E302E3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E375A"/>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E375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E375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07D649-1800-44AB-96F4-C0D55EB40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475</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khaled mohamed</cp:lastModifiedBy>
  <cp:revision>3</cp:revision>
  <dcterms:created xsi:type="dcterms:W3CDTF">2013-12-23T23:15:00Z</dcterms:created>
  <dcterms:modified xsi:type="dcterms:W3CDTF">2026-05-03T16:02:00Z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c77dc8a6-7af2-4863-83aa-820d2dc7a416</vt:lpwstr>
  </property>
</Properties>
</file>