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what-im-hearing-90-days-on-the-ground"/>
    <w:p>
      <w:pPr>
        <w:pStyle w:val="Heading1"/>
      </w:pPr>
      <w:r>
        <w:t xml:space="preserve">What I’m Hearing: 90 Days on the Ground</w:t>
      </w:r>
    </w:p>
    <w:p>
      <w:pPr>
        <w:pStyle w:val="FirstParagraph"/>
      </w:pPr>
      <w:r>
        <w:t xml:space="preserve">I speak with roughly 35 owners a day. The buildings are different. The markets are different. But the same questions keep coming up. Insurance, renovations, financing, timing. The themes behind them tell you a lot about where things are and where they’re heading.</w:t>
      </w:r>
    </w:p>
    <w:p>
      <w:pPr>
        <w:pStyle w:val="BodyText"/>
      </w:pPr>
      <w:r>
        <w:t xml:space="preserve">I wanted to share the most common ones in case you’re thinking through the same things.</w:t>
      </w:r>
    </w:p>
    <w:p>
      <w:pPr>
        <w:pStyle w:val="BodyText"/>
      </w:pPr>
      <w:r>
        <w:t xml:space="preserve">📸</w:t>
      </w:r>
      <w:r>
        <w:t xml:space="preserve"> </w:t>
      </w:r>
      <w:r>
        <w:rPr>
          <w:i/>
          <w:iCs/>
        </w:rPr>
        <w:t xml:space="preserve">[PHOTO: Team group photo or recent closing photo]</w:t>
      </w:r>
    </w:p>
    <w:p>
      <w:r>
        <w:pict>
          <v:rect style="width:0;height:1.5pt" o:hralign="center" o:hrstd="t" o:hr="t"/>
        </w:pict>
      </w:r>
    </w:p>
    <w:bookmarkStart w:id="9" w:name="the-renovation-paradox"/>
    <w:p>
      <w:pPr>
        <w:pStyle w:val="Heading2"/>
      </w:pPr>
      <w:r>
        <w:t xml:space="preserve">The Renovation Paradox</w:t>
      </w:r>
    </w:p>
    <w:p>
      <w:pPr>
        <w:pStyle w:val="FirstParagraph"/>
      </w:pPr>
      <w:r>
        <w:t xml:space="preserve">I presented a valuation to an owner two years ago. Solid building, roughly 40% of units at market. He went all-in on turns. Kitchens, bathrooms, flooring. Two years later, he’s turned a meaningful percentage of the building.</w:t>
      </w:r>
    </w:p>
    <w:p>
      <w:pPr>
        <w:pStyle w:val="BodyText"/>
      </w:pPr>
      <w:r>
        <w:t xml:space="preserve">We spoke last week. The value?</w:t>
      </w:r>
      <w:r>
        <w:t xml:space="preserve"> </w:t>
      </w:r>
      <w:r>
        <w:rPr>
          <w:b/>
          <w:bCs/>
        </w:rPr>
        <w:t xml:space="preserve">Roughly the same.</w:t>
      </w:r>
    </w:p>
    <w:p>
      <w:pPr>
        <w:pStyle w:val="BodyText"/>
      </w:pPr>
      <w:r>
        <w:t xml:space="preserve">He pushed NOI higher. But the market moved the other direction. Rates rose, cap rates expanded. The gains cancelled out.</w:t>
      </w:r>
    </w:p>
    <w:p>
      <w:pPr>
        <w:pStyle w:val="BodyText"/>
      </w:pPr>
      <w:r>
        <w:t xml:space="preserve">This surprises people, but it shouldn’t.</w:t>
      </w:r>
      <w:r>
        <w:t xml:space="preserve"> </w:t>
      </w:r>
      <w:r>
        <w:rPr>
          <w:b/>
          <w:bCs/>
        </w:rPr>
        <w:t xml:space="preserve">Building value is a function of NOI and cap rates.</w:t>
      </w:r>
      <w:r>
        <w:t xml:space="preserve"> </w:t>
      </w:r>
      <w:r>
        <w:t xml:space="preserve">You control one. You don’t control the other. The owner who says</w:t>
      </w:r>
      <w:r>
        <w:t xml:space="preserve"> </w:t>
      </w:r>
      <w:r>
        <w:t xml:space="preserve">“if I just turn 15 more units, the value goes up by $1M”</w:t>
      </w:r>
      <w:r>
        <w:t xml:space="preserve"> </w:t>
      </w:r>
      <w:r>
        <w:t xml:space="preserve">is doing math in a vacuum. That only works if cap rates stay constant. They don’t.</w:t>
      </w:r>
    </w:p>
    <w:p>
      <w:pPr>
        <w:pStyle w:val="BodyText"/>
      </w:pPr>
      <w:r>
        <w:t xml:space="preserve">It goes further. Cap rates compress for value-add and expand for stabilized. A buyer pays a premium for upside. A fully renovated building with no remaining upside trades at a higher cap rate. Past roughly 80% at market, the incremental return on each turn diminishes, and can go negative after reno costs, vacancy, and the cap rate shift.</w:t>
      </w:r>
    </w:p>
    <w:p>
      <w:pPr>
        <w:pStyle w:val="BodyText"/>
      </w:pPr>
      <w:r>
        <w:rPr>
          <w:b/>
          <w:bCs/>
        </w:rPr>
        <w:t xml:space="preserve">The point isn’t don’t renovate. It’s know when to sell.</w:t>
      </w:r>
      <w:r>
        <w:t xml:space="preserve"> </w:t>
      </w:r>
      <w:r>
        <w:t xml:space="preserve">Renovations and market timing work together. The owners who’ve done best improved their buildings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went to market when conditions aligned. That’s the conversation worth having.</w:t>
      </w:r>
    </w:p>
    <w:p>
      <w:r>
        <w:pict>
          <v:rect style="width:0;height:1.5pt" o:hralign="center" o:hrstd="t" o:hr="t"/>
        </w:pict>
      </w:r>
    </w:p>
    <w:bookmarkEnd w:id="9"/>
    <w:bookmarkStart w:id="10" w:name="insurance-is-softening"/>
    <w:p>
      <w:pPr>
        <w:pStyle w:val="Heading2"/>
      </w:pPr>
      <w:r>
        <w:t xml:space="preserve">Insurance Is Softening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Commercial property insurance rates softened through Q3 2025</w:t>
      </w:r>
      <w:r>
        <w:t xml:space="preserve"> </w:t>
      </w:r>
      <w:r>
        <w:t xml:space="preserve">and are expected to hold into 2026 (WTW,</w:t>
      </w:r>
      <w:r>
        <w:t xml:space="preserve"> </w:t>
      </w:r>
      <w:r>
        <w:rPr>
          <w:i/>
          <w:iCs/>
        </w:rPr>
        <w:t xml:space="preserve">Insurance Marketplace Realities 2026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t xml:space="preserve">Global reinsurance rates dropped roughly</w:t>
      </w:r>
      <w:r>
        <w:t xml:space="preserve"> </w:t>
      </w:r>
      <w:r>
        <w:rPr>
          <w:b/>
          <w:bCs/>
        </w:rPr>
        <w:t xml:space="preserve">8% in 2025</w:t>
      </w:r>
    </w:p>
    <w:p>
      <w:pPr>
        <w:pStyle w:val="Compact"/>
        <w:numPr>
          <w:ilvl w:val="0"/>
          <w:numId w:val="1001"/>
        </w:numPr>
      </w:pPr>
      <w:r>
        <w:t xml:space="preserve">Insurers are deploying capacity and competing hard for market share</w:t>
      </w:r>
    </w:p>
    <w:p>
      <w:pPr>
        <w:pStyle w:val="Compact"/>
        <w:numPr>
          <w:ilvl w:val="0"/>
          <w:numId w:val="1001"/>
        </w:numPr>
      </w:pPr>
      <w:r>
        <w:t xml:space="preserve">Owners I’ve spoken with this quarter have secured</w:t>
      </w:r>
      <w:r>
        <w:t xml:space="preserve"> </w:t>
      </w:r>
      <w:r>
        <w:rPr>
          <w:b/>
          <w:bCs/>
        </w:rPr>
        <w:t xml:space="preserve">10–15% reductions</w:t>
      </w:r>
      <w:r>
        <w:t xml:space="preserve"> </w:t>
      </w:r>
      <w:r>
        <w:t xml:space="preserve">by shopping their renewal</w:t>
      </w:r>
    </w:p>
    <w:p>
      <w:pPr>
        <w:pStyle w:val="Compact"/>
        <w:numPr>
          <w:ilvl w:val="0"/>
          <w:numId w:val="1001"/>
        </w:numPr>
      </w:pPr>
      <w:r>
        <w:t xml:space="preserve">If you own a well-maintained building with clean claims history, get competing quotes</w:t>
      </w:r>
      <w:r>
        <w:t xml:space="preserve"> </w:t>
      </w:r>
      <w:r>
        <w:rPr>
          <w:b/>
          <w:bCs/>
        </w:rPr>
        <w:t xml:space="preserve">60–90 days before your policy is up</w:t>
      </w:r>
    </w:p>
    <w:p>
      <w:pPr>
        <w:pStyle w:val="Compact"/>
        <w:numPr>
          <w:ilvl w:val="0"/>
          <w:numId w:val="1001"/>
        </w:numPr>
      </w:pPr>
      <w:r>
        <w:t xml:space="preserve">The hard market is done</w:t>
      </w:r>
    </w:p>
    <w:p>
      <w:r>
        <w:pict>
          <v:rect style="width:0;height:1.5pt" o:hralign="center" o:hrstd="t" o:hr="t"/>
        </w:pict>
      </w:r>
    </w:p>
    <w:bookmarkEnd w:id="10"/>
    <w:bookmarkStart w:id="11" w:name="free-boiler-close-to-it."/>
    <w:p>
      <w:pPr>
        <w:pStyle w:val="Heading2"/>
      </w:pPr>
      <w:r>
        <w:t xml:space="preserve">Free Boiler? Close to It.</w:t>
      </w:r>
    </w:p>
    <w:p>
      <w:pPr>
        <w:pStyle w:val="FirstParagraph"/>
      </w:pPr>
      <w:r>
        <w:t xml:space="preserve">A client brought this up recently. I dug in. It’s real and underutilized.</w:t>
      </w:r>
    </w:p>
    <w:p>
      <w:pPr>
        <w:pStyle w:val="BodyText"/>
      </w:pPr>
      <w:r>
        <w:rPr>
          <w:b/>
          <w:bCs/>
        </w:rPr>
        <w:t xml:space="preserve">The City of Toronto’s Energy Retrofit Loan program</w:t>
      </w:r>
      <w:r>
        <w:t xml:space="preserve"> </w:t>
      </w:r>
      <w:r>
        <w:t xml:space="preserve">offers fixed-rate financing for up to</w:t>
      </w:r>
      <w:r>
        <w:t xml:space="preserve"> </w:t>
      </w:r>
      <w:r>
        <w:rPr>
          <w:b/>
          <w:bCs/>
        </w:rPr>
        <w:t xml:space="preserve">100% of project costs</w:t>
      </w:r>
      <w:r>
        <w:t xml:space="preserve">, terms up to</w:t>
      </w:r>
      <w:r>
        <w:t xml:space="preserve"> </w:t>
      </w:r>
      <w:r>
        <w:rPr>
          <w:b/>
          <w:bCs/>
        </w:rPr>
        <w:t xml:space="preserve">30 years</w:t>
      </w:r>
      <w:r>
        <w:t xml:space="preserve">, pegged to the City’s cost of borrowing. First year is</w:t>
      </w:r>
      <w:r>
        <w:t xml:space="preserve"> </w:t>
      </w:r>
      <w:r>
        <w:rPr>
          <w:b/>
          <w:bCs/>
        </w:rPr>
        <w:t xml:space="preserve">interest-free and payment-free.</w:t>
      </w:r>
      <w:r>
        <w:t xml:space="preserve"> </w:t>
      </w:r>
      <w:r>
        <w:t xml:space="preserve">Covers boilers, heat pumps, building automation, insulation, lighting.</w:t>
      </w:r>
    </w:p>
    <w:p>
      <w:pPr>
        <w:pStyle w:val="BodyText"/>
      </w:pPr>
      <w:r>
        <w:t xml:space="preserve">Toronto’s</w:t>
      </w:r>
      <w:r>
        <w:t xml:space="preserve"> </w:t>
      </w:r>
      <w:r>
        <w:rPr>
          <w:b/>
          <w:bCs/>
        </w:rPr>
        <w:t xml:space="preserve">Hi-RIS program</w:t>
      </w:r>
      <w:r>
        <w:t xml:space="preserve"> </w:t>
      </w:r>
      <w:r>
        <w:t xml:space="preserve">works similarly. Repaid through your property tax bill, attached to the property. Transfers on sale.</w:t>
      </w:r>
    </w:p>
    <w:p>
      <w:pPr>
        <w:pStyle w:val="BodyText"/>
      </w:pPr>
      <w:r>
        <w:rPr>
          <w:b/>
          <w:bCs/>
        </w:rPr>
        <w:t xml:space="preserve">The trade-off:</w:t>
      </w:r>
      <w:r>
        <w:t xml:space="preserve"> </w:t>
      </w:r>
      <w:r>
        <w:t xml:space="preserve">you generally can’t file an AGI for work financed through these programs. But if you’re on MLI Select, the energy efficiency improvements may improve your scoring on refi.</w:t>
      </w:r>
    </w:p>
    <w:p>
      <w:pPr>
        <w:pStyle w:val="BodyText"/>
      </w:pPr>
      <w:r>
        <w:t xml:space="preserve">Beyond Toronto: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Enbridge</w:t>
      </w:r>
      <w:r>
        <w:t xml:space="preserve"> </w:t>
      </w:r>
      <w:r>
        <w:t xml:space="preserve">offers the Commercial Custom Retrofit Program for gas-heated buildings (deadline</w:t>
      </w:r>
      <w:r>
        <w:t xml:space="preserve"> </w:t>
      </w:r>
      <w:r>
        <w:rPr>
          <w:b/>
          <w:bCs/>
        </w:rPr>
        <w:t xml:space="preserve">June 30, 2026</w:t>
      </w:r>
      <w:r>
        <w:t xml:space="preserve">)</w:t>
      </w:r>
    </w:p>
    <w:p>
      <w:pPr>
        <w:pStyle w:val="Compact"/>
        <w:numPr>
          <w:ilvl w:val="0"/>
          <w:numId w:val="1002"/>
        </w:numPr>
      </w:pPr>
      <w:r>
        <w:t xml:space="preserve">Several Ontario municipalities offer</w:t>
      </w:r>
      <w:r>
        <w:t xml:space="preserve"> </w:t>
      </w:r>
      <w:r>
        <w:rPr>
          <w:b/>
          <w:bCs/>
        </w:rPr>
        <w:t xml:space="preserve">PACE-style financing</w:t>
      </w:r>
    </w:p>
    <w:p>
      <w:pPr>
        <w:pStyle w:val="Compact"/>
        <w:numPr>
          <w:ilvl w:val="0"/>
          <w:numId w:val="1002"/>
        </w:numPr>
      </w:pPr>
      <w:r>
        <w:t xml:space="preserve">Worth a call to your local government. The landscape is evolving fast.</w:t>
      </w:r>
    </w:p>
    <w:p>
      <w:r>
        <w:pict>
          <v:rect style="width:0;height:1.5pt" o:hralign="center" o:hrstd="t" o:hr="t"/>
        </w:pict>
      </w:r>
    </w:p>
    <w:bookmarkEnd w:id="11"/>
    <w:bookmarkStart w:id="12" w:name="open-vs.-closed-mortgage"/>
    <w:p>
      <w:pPr>
        <w:pStyle w:val="Heading2"/>
      </w:pPr>
      <w:r>
        <w:t xml:space="preserve">Open vs. Closed Mortgage</w:t>
      </w:r>
    </w:p>
    <w:p>
      <w:pPr>
        <w:pStyle w:val="FirstParagraph"/>
      </w:pPr>
      <w:r>
        <w:t xml:space="preserve">This comes up at the worst time. When we’re trying to close a sale.</w:t>
      </w:r>
    </w:p>
    <w:p>
      <w:pPr>
        <w:pStyle w:val="Compact"/>
        <w:numPr>
          <w:ilvl w:val="0"/>
          <w:numId w:val="1003"/>
        </w:numPr>
      </w:pPr>
      <w:r>
        <w:t xml:space="preserve">Some owners take a closed mortgage to save a few bps on their rate</w:t>
      </w:r>
    </w:p>
    <w:p>
      <w:pPr>
        <w:pStyle w:val="Compact"/>
        <w:numPr>
          <w:ilvl w:val="0"/>
          <w:numId w:val="1003"/>
        </w:numPr>
      </w:pPr>
      <w:r>
        <w:t xml:space="preserve">On exit, that means: an</w:t>
      </w:r>
      <w:r>
        <w:t xml:space="preserve"> </w:t>
      </w:r>
      <w:r>
        <w:rPr>
          <w:b/>
          <w:bCs/>
        </w:rPr>
        <w:t xml:space="preserve">IRD penalty</w:t>
      </w:r>
      <w:r>
        <w:t xml:space="preserve"> </w:t>
      </w:r>
      <w:r>
        <w:t xml:space="preserve">well into six figures, a</w:t>
      </w:r>
      <w:r>
        <w:t xml:space="preserve"> </w:t>
      </w:r>
      <w:r>
        <w:rPr>
          <w:b/>
          <w:bCs/>
        </w:rPr>
        <w:t xml:space="preserve">mortgage assumption</w:t>
      </w:r>
      <w:r>
        <w:t xml:space="preserve"> </w:t>
      </w:r>
      <w:r>
        <w:t xml:space="preserve">that locks the buyer into your terms, or</w:t>
      </w:r>
      <w:r>
        <w:t xml:space="preserve"> </w:t>
      </w:r>
      <w:r>
        <w:rPr>
          <w:b/>
          <w:bCs/>
        </w:rPr>
        <w:t xml:space="preserve">portability</w:t>
      </w:r>
      <w:r>
        <w:t xml:space="preserve"> </w:t>
      </w:r>
      <w:r>
        <w:t xml:space="preserve">that rarely lines up</w:t>
      </w:r>
    </w:p>
    <w:p>
      <w:pPr>
        <w:pStyle w:val="Compact"/>
        <w:numPr>
          <w:ilvl w:val="0"/>
          <w:numId w:val="1003"/>
        </w:numPr>
      </w:pPr>
      <w:r>
        <w:t xml:space="preserve">Every buyer has a different strategy. MLI Select, conventional, bridge, lower leverage.</w:t>
      </w:r>
    </w:p>
    <w:p>
      <w:pPr>
        <w:pStyle w:val="Compact"/>
        <w:numPr>
          <w:ilvl w:val="0"/>
          <w:numId w:val="1003"/>
        </w:numPr>
      </w:pPr>
      <w:r>
        <w:t xml:space="preserve">Forcing an assumption</w:t>
      </w:r>
      <w:r>
        <w:t xml:space="preserve"> </w:t>
      </w:r>
      <w:r>
        <w:rPr>
          <w:b/>
          <w:bCs/>
        </w:rPr>
        <w:t xml:space="preserve">narrows your buyer pool and costs you on price</w:t>
      </w:r>
    </w:p>
    <w:p>
      <w:pPr>
        <w:pStyle w:val="Compact"/>
        <w:numPr>
          <w:ilvl w:val="0"/>
          <w:numId w:val="1003"/>
        </w:numPr>
      </w:pPr>
      <w:r>
        <w:t xml:space="preserve">Get the open structure. The spread difference is minimal. The flexibility on exit is not.</w:t>
      </w:r>
    </w:p>
    <w:p>
      <w:pPr>
        <w:pStyle w:val="FirstParagraph"/>
      </w:pPr>
      <w:r>
        <w:t xml:space="preserve">Same logic for locking in a new mortgage pre-sale thinking the buyer will assume it. Don’t. Go to market with clean title or easily dischargeable debt. Let the buyer arrange their own financing.</w:t>
      </w:r>
    </w:p>
    <w:p>
      <w:r>
        <w:pict>
          <v:rect style="width:0;height:1.5pt" o:hralign="center" o:hrstd="t" o:hr="t"/>
        </w:pict>
      </w:r>
    </w:p>
    <w:bookmarkEnd w:id="12"/>
    <w:bookmarkStart w:id="13" w:name="hows-the-market"/>
    <w:p>
      <w:pPr>
        <w:pStyle w:val="Heading2"/>
      </w:pPr>
      <w:r>
        <w:t xml:space="preserve">How’s the Market?</w:t>
      </w:r>
    </w:p>
    <w:p>
      <w:pPr>
        <w:pStyle w:val="FirstParagraph"/>
      </w:pPr>
      <w:r>
        <w:t xml:space="preserve">📸</w:t>
      </w:r>
      <w:r>
        <w:t xml:space="preserve"> </w:t>
      </w:r>
      <w:r>
        <w:rPr>
          <w:i/>
          <w:iCs/>
        </w:rPr>
        <w:t xml:space="preserve">[CHART: Offer depth per listing or deal volume]</w:t>
      </w:r>
    </w:p>
    <w:p>
      <w:pPr>
        <w:pStyle w:val="BodyText"/>
      </w:pPr>
      <w:r>
        <w:t xml:space="preserve">Good. Our team has</w:t>
      </w:r>
      <w:r>
        <w:t xml:space="preserve"> </w:t>
      </w:r>
      <w:r>
        <w:rPr>
          <w:b/>
          <w:bCs/>
        </w:rPr>
        <w:t xml:space="preserve">$XXM in active deals</w:t>
      </w:r>
      <w:r>
        <w:t xml:space="preserve"> </w:t>
      </w:r>
      <w:r>
        <w:t xml:space="preserve">under contract or coming to market. We’re consistently generating</w:t>
      </w:r>
      <w:r>
        <w:t xml:space="preserve"> </w:t>
      </w:r>
      <w:r>
        <w:rPr>
          <w:b/>
          <w:bCs/>
        </w:rPr>
        <w:t xml:space="preserve">6 to 14 offers per listing</w:t>
      </w:r>
      <w:r>
        <w:t xml:space="preserve"> </w:t>
      </w:r>
      <w:r>
        <w:t xml:space="preserve">across property sizes and geographies. New buyer entrants, groups that weren’t active 12 months ago, are showing up and competing.</w:t>
      </w:r>
    </w:p>
    <w:p>
      <w:pPr>
        <w:pStyle w:val="BodyText"/>
      </w:pPr>
      <w:r>
        <w:t xml:space="preserve">This is not 2021. Buyers are underwriting on current fundamentals. Central banks remain focused on inflation and won’t cut aggressively near term. Everyone has internalized this. The result is a healthy market for deals that make sense. Capital is committing. Stability is what makes that possible.</w:t>
      </w:r>
    </w:p>
    <w:p>
      <w:r>
        <w:pict>
          <v:rect style="width:0;height:1.5pt" o:hralign="center" o:hrstd="t" o:hr="t"/>
        </w:pict>
      </w:r>
    </w:p>
    <w:bookmarkEnd w:id="13"/>
    <w:bookmarkStart w:id="14" w:name="prep-before-you-sell"/>
    <w:p>
      <w:pPr>
        <w:pStyle w:val="Heading2"/>
      </w:pPr>
      <w:r>
        <w:t xml:space="preserve">Prep Before You Sell</w:t>
      </w:r>
    </w:p>
    <w:p>
      <w:pPr>
        <w:pStyle w:val="FirstParagraph"/>
      </w:pPr>
      <w:r>
        <w:rPr>
          <w:b/>
          <w:bCs/>
        </w:rPr>
        <w:t xml:space="preserve">Dragging out a sale does not improve pricing.</w:t>
      </w:r>
      <w:r>
        <w:t xml:space="preserve"> </w:t>
      </w:r>
      <w:r>
        <w:t xml:space="preserve">Our typical process: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Timeline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Listing agreement to market launch</w:t>
            </w:r>
          </w:p>
        </w:tc>
        <w:tc>
          <w:tcPr/>
          <w:p>
            <w:pPr>
              <w:pStyle w:val="Compact"/>
            </w:pPr>
            <w:r>
              <w:t xml:space="preserve">3–4 weeks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 market to offers finalized</w:t>
            </w:r>
          </w:p>
        </w:tc>
        <w:tc>
          <w:tcPr/>
          <w:p>
            <w:pPr>
              <w:pStyle w:val="Compact"/>
            </w:pPr>
            <w:r>
              <w:t xml:space="preserve">3–4 weeks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Conditional period</w:t>
            </w:r>
          </w:p>
        </w:tc>
        <w:tc>
          <w:tcPr/>
          <w:p>
            <w:pPr>
              <w:pStyle w:val="Compact"/>
            </w:pPr>
            <w:r>
              <w:t xml:space="preserve">0–45 days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Conditions waived to closing</w:t>
            </w:r>
          </w:p>
        </w:tc>
        <w:tc>
          <w:tcPr/>
          <w:p>
            <w:pPr>
              <w:pStyle w:val="Compact"/>
            </w:pPr>
            <w:r>
              <w:t xml:space="preserve">30–60 days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~3 to 5 months</w:t>
            </w:r>
          </w:p>
        </w:tc>
      </w:tr>
    </w:tbl>
    <w:p>
      <w:pPr>
        <w:pStyle w:val="BodyText"/>
      </w:pPr>
      <w:r>
        <w:t xml:space="preserve">📸</w:t>
      </w:r>
      <w:r>
        <w:t xml:space="preserve"> </w:t>
      </w:r>
      <w:r>
        <w:rPr>
          <w:i/>
          <w:iCs/>
        </w:rPr>
        <w:t xml:space="preserve">[GRAPHIC: Simple horizontal timeline showing the 4 phases]</w:t>
      </w:r>
    </w:p>
    <w:p>
      <w:pPr>
        <w:pStyle w:val="BodyText"/>
      </w:pPr>
      <w:r>
        <w:t xml:space="preserve">The variance is almost entirely how prepared the seller is. Three things worth doing now if you’re considering a sale in the next 12–24 months: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Phase I ESA</w:t>
      </w:r>
      <w:r>
        <w:t xml:space="preserve"> </w:t>
      </w:r>
      <w:r>
        <w:t xml:space="preserve">from a reputable firm. Eliminates the #1 source of deal delays, re-trades, and failed transactions. Budget</w:t>
      </w:r>
      <w:r>
        <w:t xml:space="preserve"> </w:t>
      </w:r>
      <w:r>
        <w:rPr>
          <w:b/>
          <w:bCs/>
        </w:rPr>
        <w:t xml:space="preserve">$5K–$10K.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Cosmetic touch-ups.</w:t>
      </w:r>
      <w:r>
        <w:t xml:space="preserve"> </w:t>
      </w:r>
      <w:r>
        <w:t xml:space="preserve">Paint in common areas, clean hallways, working lights. First impressions flow directly into pricing.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LED lighting.</w:t>
      </w:r>
      <w:r>
        <w:t xml:space="preserve"> </w:t>
      </w:r>
      <w:r>
        <w:t xml:space="preserve">Lobbies, stairwells, parking, exteriors. Cheap, immediately visible.</w:t>
      </w:r>
    </w:p>
    <w:p>
      <w:pPr>
        <w:pStyle w:val="FirstParagraph"/>
      </w:pPr>
      <w:r>
        <w:t xml:space="preserve">All three:</w:t>
      </w:r>
      <w:r>
        <w:t xml:space="preserve"> </w:t>
      </w:r>
      <w:r>
        <w:rPr>
          <w:b/>
          <w:bCs/>
        </w:rPr>
        <w:t xml:space="preserve">under $20K.</w:t>
      </w:r>
      <w:r>
        <w:t xml:space="preserve"> </w:t>
      </w:r>
      <w:r>
        <w:t xml:space="preserve">Worth every dollar.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Dayma Itamunoala</w:t>
      </w:r>
      <w:r>
        <w:t xml:space="preserve"> </w:t>
      </w:r>
      <w:r>
        <w:t xml:space="preserve">Senior Vice President, Sales Representative</w:t>
      </w:r>
      <w:r>
        <w:t xml:space="preserve"> </w:t>
      </w:r>
      <w:r>
        <w:t xml:space="preserve">Colliers | Ontario Multifamily &amp; Seniors Housing Capital Markets</w:t>
      </w:r>
      <w:r>
        <w:t xml:space="preserve"> </w:t>
      </w:r>
      <w:r>
        <w:t xml:space="preserve">dayma.itamunoala@colliers.com | (647) 915-3193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2026-03-11T19:16:59Z</dcterms:created>
  <dcterms:modified xsi:type="dcterms:W3CDTF">2026-03-11T19:16:59Z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