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40"/>
        <w:jc w:val="left"/>
      </w:pPr>
      <w:r>
        <w:rPr>
          <w:rFonts w:ascii="Arial" w:cs="Arial" w:eastAsia="Arial" w:hAnsi="Arial"/>
          <w:b/>
          <w:bCs/>
          <w:color w:val="1A237E"/>
          <w:sz w:val="52"/>
          <w:szCs w:val="52"/>
        </w:rPr>
        <w:t xml:space="preserve">Degradation-Aware</w:t>
      </w:r>
    </w:p>
    <w:p>
      <w:pPr>
        <w:pBdr>
          <w:bottom w:val="single" w:color="00695C" w:sz="8" w:space="8"/>
        </w:pBdr>
        <w:spacing w:before="0" w:after="60"/>
        <w:jc w:val="left"/>
      </w:pPr>
      <w:r>
        <w:rPr>
          <w:rFonts w:ascii="Arial" w:cs="Arial" w:eastAsia="Arial" w:hAnsi="Arial"/>
          <w:i/>
          <w:iCs/>
          <w:color w:val="1565C0"/>
          <w:sz w:val="28"/>
          <w:szCs w:val="28"/>
        </w:rPr>
        <w:t xml:space="preserve">Missing Data Strategy for the 1,765-Protein AD Proteomics Dataset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Dataset</w:t>
            </w:r>
          </w:p>
        </w:tc>
        <w:tc>
          <w:tcPr>
            <w:tcW w:type="dxa" w:w="27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Issue raised</w:t>
            </w:r>
          </w:p>
        </w:tc>
        <w:tc>
          <w:tcPr>
            <w:tcW w:type="dxa" w:w="3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This document covers</w:t>
            </w:r>
          </w:p>
        </w:tc>
      </w:tr>
      <w:tr>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1,765 proteins (≥10% detection) | 20 AD patients | 10 controls | Normalized plasma MS</w:t>
            </w:r>
          </w:p>
        </w:tc>
        <w:tc>
          <w:tcPr>
            <w:tcW w:type="dxa" w:w="27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Blood samples NOT stored immediately → proteins may have degraded before processing</w:t>
            </w:r>
          </w:p>
        </w:tc>
        <w:tc>
          <w:tcPr>
            <w:tcW w:type="dxa" w:w="3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How degradation changes the missingness model; revised imputation strategy; sample QC scoring; bridge to pathway-weighted dimensionality reduction</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1.  How Delayed Storage Changes the Missing Data Model</w:t>
      </w:r>
    </w:p>
    <w:p>
      <w:pPr>
        <w:spacing w:before="60" w:after="100"/>
      </w:pPr>
      <w:r>
        <w:rPr>
          <w:rFonts w:ascii="Arial" w:cs="Arial" w:eastAsia="Arial" w:hAnsi="Arial"/>
          <w:b w:val="false"/>
          <w:bCs w:val="false"/>
          <w:i w:val="false"/>
          <w:iCs w:val="false"/>
          <w:color w:val="263238"/>
          <w:sz w:val="22"/>
          <w:szCs w:val="22"/>
        </w:rPr>
        <w:t xml:space="preserve">In a standard plasma proteomics pipeline, samples are collected, immediately centrifuged, aliquoted, and frozen at −80 °C. Missing values in that scenario arise almost entirely from two causes: instrument sensitivity (MNAR-LOD) and random technical noise (MCAR). The imputation strategy is straightforward.</w:t>
      </w:r>
    </w:p>
    <w:p>
      <w:pPr>
        <w:spacing w:before="60" w:after="100"/>
      </w:pPr>
      <w:r>
        <w:rPr>
          <w:rFonts w:ascii="Arial" w:cs="Arial" w:eastAsia="Arial" w:hAnsi="Arial"/>
          <w:b w:val="false"/>
          <w:bCs w:val="false"/>
          <w:i w:val="false"/>
          <w:iCs w:val="false"/>
          <w:color w:val="263238"/>
          <w:sz w:val="22"/>
          <w:szCs w:val="22"/>
        </w:rPr>
        <w:t xml:space="preserve">When samples are NOT stored immediately — sitting at room temperature (RT) for even 30–120 minutes before processing — a third cause enters the model that is qualitatively different from the other two: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2"/>
              <w:left w:val="single" w:color="BF360C" w:sz="28"/>
              <w:bottom w:val="single" w:color="BF360C" w:sz="4"/>
              <w:right w:val="none" w:color="FFFFFF" w:sz="0"/>
            </w:tcBorders>
            <w:shd w:fill="FBE9E7" w:val="clear"/>
            <w:tcMar>
              <w:top w:type="dxa" w:w="140"/>
              <w:left w:type="dxa" w:w="220"/>
              <w:bottom w:type="dxa" w:w="140"/>
              <w:right w:type="dxa" w:w="180"/>
            </w:tcMar>
          </w:tcPr>
          <w:p>
            <w:pPr>
              <w:spacing w:before="0" w:after="80"/>
            </w:pPr>
            <w:r>
              <w:rPr>
                <w:rFonts w:ascii="Arial" w:cs="Arial" w:eastAsia="Arial" w:hAnsi="Arial"/>
                <w:b/>
                <w:bCs/>
                <w:color w:val="BF360C"/>
                <w:sz w:val="22"/>
                <w:szCs w:val="22"/>
              </w:rPr>
              <w:t xml:space="preserve">⚠  Pre-analytical Degradation Adds a New Class of Missingness (MNAR-DEG)</w:t>
            </w:r>
          </w:p>
          <w:p>
            <w:pPr>
              <w:spacing w:before="0" w:after="40"/>
            </w:pPr>
            <w:r>
              <w:rPr>
                <w:rFonts w:ascii="Arial" w:cs="Arial" w:eastAsia="Arial" w:hAnsi="Arial"/>
                <w:color w:val="263238"/>
                <w:sz w:val="21"/>
                <w:szCs w:val="21"/>
              </w:rPr>
              <w:t xml:space="preserve">Proteins that were genuinely present at disease-relevant concentrations may be partially or fully</w:t>
            </w:r>
          </w:p>
          <w:p>
            <w:pPr>
              <w:spacing w:before="0" w:after="40"/>
            </w:pPr>
            <w:r>
              <w:rPr>
                <w:rFonts w:ascii="Arial" w:cs="Arial" w:eastAsia="Arial" w:hAnsi="Arial"/>
                <w:color w:val="263238"/>
                <w:sz w:val="21"/>
                <w:szCs w:val="21"/>
              </w:rPr>
              <w:t xml:space="preserve">degraded by the time the sample is processed. This creates missing values that are NOT driven by</w:t>
            </w:r>
          </w:p>
          <w:p>
            <w:pPr>
              <w:spacing w:before="0" w:after="40"/>
            </w:pPr>
            <w:r>
              <w:rPr>
                <w:rFonts w:ascii="Arial" w:cs="Arial" w:eastAsia="Arial" w:hAnsi="Arial"/>
                <w:color w:val="263238"/>
                <w:sz w:val="21"/>
                <w:szCs w:val="21"/>
              </w:rPr>
              <w:t xml:space="preserve">low abundance — the protein was there, it just broke down. The key consequence:</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 MNAR-LOD: Missing because the protein is RARE. Imputing with LOD/√2 is correct.</w:t>
            </w:r>
          </w:p>
          <w:p>
            <w:pPr>
              <w:spacing w:before="0" w:after="40"/>
            </w:pPr>
            <w:r>
              <w:rPr>
                <w:rFonts w:ascii="Arial" w:cs="Arial" w:eastAsia="Arial" w:hAnsi="Arial"/>
                <w:color w:val="263238"/>
                <w:sz w:val="21"/>
                <w:szCs w:val="21"/>
              </w:rPr>
              <w:t xml:space="preserve">• MNAR-DEG: Missing because the protein DEGRADED. Imputing with LOD/√2 is WRONG —</w:t>
            </w:r>
          </w:p>
          <w:p>
            <w:pPr>
              <w:spacing w:before="0" w:after="40"/>
            </w:pPr>
            <w:r>
              <w:rPr>
                <w:rFonts w:ascii="Arial" w:cs="Arial" w:eastAsia="Arial" w:hAnsi="Arial"/>
                <w:color w:val="263238"/>
                <w:sz w:val="21"/>
                <w:szCs w:val="21"/>
              </w:rPr>
              <w:t xml:space="preserve">  it would assign a 'near zero' value to a protein that was actually at normal or elevated levels.</w:t>
            </w:r>
          </w:p>
          <w:p>
            <w:pPr>
              <w:spacing w:before="0" w:after="40"/>
            </w:pPr>
            <w:r>
              <w:rPr>
                <w:rFonts w:ascii="Arial" w:cs="Arial" w:eastAsia="Arial" w:hAnsi="Arial"/>
                <w:color w:val="263238"/>
                <w:sz w:val="21"/>
                <w:szCs w:val="21"/>
              </w:rPr>
              <w:t xml:space="preserve">  The correct imputation uses the median of non-degraded samples for that protein.</w:t>
            </w:r>
          </w:p>
        </w:tc>
      </w:tr>
    </w:tbl>
    <w:p>
      <w:pPr>
        <w:spacing w:before="0" w:after="0"/>
      </w:pPr>
      <w:r>
        <w:t xml:space="preserve"/>
      </w:r>
    </w:p>
    <w:p>
      <w:pPr>
        <w:pStyle w:val="Heading2"/>
        <w:spacing w:before="280" w:after="120"/>
      </w:pPr>
      <w:r>
        <w:rPr>
          <w:rFonts w:ascii="Arial" w:cs="Arial" w:eastAsia="Arial" w:hAnsi="Arial"/>
          <w:b/>
          <w:bCs/>
          <w:color w:val="1565C0"/>
          <w:sz w:val="26"/>
          <w:szCs w:val="26"/>
        </w:rPr>
        <w:t xml:space="preserve">1.1  The Four Types of Missingness — Revised Taxonomy</w:t>
      </w:r>
    </w:p>
    <w:p>
      <w:pPr>
        <w:spacing w:before="60" w:after="100"/>
      </w:pPr>
      <w:r>
        <w:rPr>
          <w:rFonts w:ascii="Arial" w:cs="Arial" w:eastAsia="Arial" w:hAnsi="Arial"/>
          <w:b w:val="false"/>
          <w:bCs w:val="false"/>
          <w:i w:val="false"/>
          <w:iCs w:val="false"/>
          <w:color w:val="263238"/>
          <w:sz w:val="22"/>
          <w:szCs w:val="22"/>
        </w:rPr>
        <w:t xml:space="preserve">Your dataset now has four distinct missingness mechanisms, each requiring a different response: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80"/>
        <w:gridCol w:w="3480"/>
      </w:tblGrid>
      <w:tr>
        <w:trPr>
          <w:tblHeader/>
        </w:trPr>
        <w:tc>
          <w:tcPr>
            <w:tcW w:type="dxa" w:w="1200"/>
            <w:tcBorders>
              <w:top w:val="single" w:color="CFD8DC" w:sz="1"/>
              <w:left w:val="single" w:color="CFD8DC" w:sz="1"/>
              <w:bottom w:val="single" w:color="CFD8DC" w:sz="1"/>
              <w:right w:val="single" w:color="CFD8DC" w:sz="1"/>
            </w:tcBorders>
            <w:shd w:fill="1A237E" w:val="clear"/>
            <w:tcMar>
              <w:top w:type="dxa" w:w="90"/>
              <w:left w:type="dxa" w:w="120"/>
              <w:bottom w:type="dxa" w:w="90"/>
              <w:right w:type="dxa" w:w="120"/>
            </w:tcMar>
          </w:tcPr>
          <w:p>
            <w:r>
              <w:rPr>
                <w:rFonts w:ascii="Arial" w:cs="Arial" w:eastAsia="Arial" w:hAnsi="Arial"/>
                <w:b/>
                <w:bCs/>
                <w:color w:val="FFFFFF"/>
                <w:sz w:val="20"/>
                <w:szCs w:val="20"/>
              </w:rPr>
              <w:t xml:space="preserve">Type</w:t>
            </w:r>
          </w:p>
        </w:tc>
        <w:tc>
          <w:tcPr>
            <w:tcW w:type="dxa" w:w="2000"/>
            <w:tcBorders>
              <w:top w:val="single" w:color="CFD8DC" w:sz="1"/>
              <w:left w:val="single" w:color="CFD8DC" w:sz="1"/>
              <w:bottom w:val="single" w:color="CFD8DC" w:sz="1"/>
              <w:right w:val="single" w:color="CFD8DC" w:sz="1"/>
            </w:tcBorders>
            <w:shd w:fill="1A237E" w:val="clear"/>
            <w:tcMar>
              <w:top w:type="dxa" w:w="90"/>
              <w:left w:type="dxa" w:w="120"/>
              <w:bottom w:type="dxa" w:w="90"/>
              <w:right w:type="dxa" w:w="120"/>
            </w:tcMar>
          </w:tcPr>
          <w:p>
            <w:r>
              <w:rPr>
                <w:rFonts w:ascii="Arial" w:cs="Arial" w:eastAsia="Arial" w:hAnsi="Arial"/>
                <w:b/>
                <w:bCs/>
                <w:color w:val="FFFFFF"/>
                <w:sz w:val="20"/>
                <w:szCs w:val="20"/>
              </w:rPr>
              <w:t xml:space="preserve">Name</w:t>
            </w:r>
          </w:p>
        </w:tc>
        <w:tc>
          <w:tcPr>
            <w:tcW w:type="dxa" w:w="2680"/>
            <w:tcBorders>
              <w:top w:val="single" w:color="CFD8DC" w:sz="1"/>
              <w:left w:val="single" w:color="CFD8DC" w:sz="1"/>
              <w:bottom w:val="single" w:color="CFD8DC" w:sz="1"/>
              <w:right w:val="single" w:color="CFD8DC" w:sz="1"/>
            </w:tcBorders>
            <w:shd w:fill="1A237E" w:val="clear"/>
            <w:tcMar>
              <w:top w:type="dxa" w:w="90"/>
              <w:left w:type="dxa" w:w="120"/>
              <w:bottom w:type="dxa" w:w="90"/>
              <w:right w:type="dxa" w:w="120"/>
            </w:tcMar>
          </w:tcPr>
          <w:p>
            <w:r>
              <w:rPr>
                <w:rFonts w:ascii="Arial" w:cs="Arial" w:eastAsia="Arial" w:hAnsi="Arial"/>
                <w:b/>
                <w:bCs/>
                <w:color w:val="FFFFFF"/>
                <w:sz w:val="20"/>
                <w:szCs w:val="20"/>
              </w:rPr>
              <w:t xml:space="preserve">Evidence in Your Data</w:t>
            </w:r>
          </w:p>
        </w:tc>
        <w:tc>
          <w:tcPr>
            <w:tcW w:type="dxa" w:w="3480"/>
            <w:tcBorders>
              <w:top w:val="single" w:color="CFD8DC" w:sz="1"/>
              <w:left w:val="single" w:color="CFD8DC" w:sz="1"/>
              <w:bottom w:val="single" w:color="CFD8DC" w:sz="1"/>
              <w:right w:val="single" w:color="CFD8DC" w:sz="1"/>
            </w:tcBorders>
            <w:shd w:fill="1A237E" w:val="clear"/>
            <w:tcMar>
              <w:top w:type="dxa" w:w="90"/>
              <w:left w:type="dxa" w:w="120"/>
              <w:bottom w:type="dxa" w:w="90"/>
              <w:right w:type="dxa" w:w="120"/>
            </w:tcMar>
          </w:tcPr>
          <w:p>
            <w:r>
              <w:rPr>
                <w:rFonts w:ascii="Arial" w:cs="Arial" w:eastAsia="Arial" w:hAnsi="Arial"/>
                <w:b/>
                <w:bCs/>
                <w:color w:val="FFFFFF"/>
                <w:sz w:val="20"/>
                <w:szCs w:val="20"/>
              </w:rPr>
              <w:t xml:space="preserve">Imputation Rule</w:t>
            </w:r>
          </w:p>
        </w:tc>
      </w:tr>
      <w:tr>
        <w:tc>
          <w:tcPr>
            <w:tcW w:type="dxa" w:w="1200"/>
            <w:tcBorders>
              <w:top w:val="single" w:color="CFD8DC" w:sz="1"/>
              <w:left w:val="single" w:color="CFD8DC" w:sz="1"/>
              <w:bottom w:val="single" w:color="CFD8DC" w:sz="1"/>
              <w:right w:val="single" w:color="CFD8DC" w:sz="1"/>
            </w:tcBorders>
            <w:shd w:fill="E0F2F1" w:val="clear"/>
            <w:tcMar>
              <w:top w:type="dxa" w:w="90"/>
              <w:left w:type="dxa" w:w="120"/>
              <w:bottom w:type="dxa" w:w="90"/>
              <w:right w:type="dxa" w:w="120"/>
            </w:tcMar>
          </w:tcPr>
          <w:p>
            <w:r>
              <w:rPr>
                <w:rFonts w:ascii="Arial" w:cs="Arial" w:eastAsia="Arial" w:hAnsi="Arial"/>
                <w:b/>
                <w:bCs/>
                <w:color w:val="00695C"/>
                <w:sz w:val="20"/>
                <w:szCs w:val="20"/>
              </w:rPr>
              <w:t xml:space="preserve">MNAR-LOD</w:t>
            </w:r>
          </w:p>
        </w:tc>
        <w:tc>
          <w:tcPr>
            <w:tcW w:type="dxa" w:w="2000"/>
            <w:tcBorders>
              <w:top w:val="single" w:color="CFD8DC" w:sz="1"/>
              <w:left w:val="single" w:color="CFD8DC" w:sz="1"/>
              <w:bottom w:val="single" w:color="CFD8DC" w:sz="1"/>
              <w:right w:val="single" w:color="CFD8DC" w:sz="1"/>
            </w:tcBorders>
            <w:shd w:fill="E0F2F1" w:val="clear"/>
            <w:tcMar>
              <w:top w:type="dxa" w:w="90"/>
              <w:left w:type="dxa" w:w="120"/>
              <w:bottom w:type="dxa" w:w="90"/>
              <w:right w:type="dxa" w:w="120"/>
            </w:tcMar>
          </w:tcPr>
          <w:p>
            <w:r>
              <w:rPr>
                <w:rFonts w:ascii="Arial" w:cs="Arial" w:eastAsia="Arial" w:hAnsi="Arial"/>
                <w:b/>
                <w:bCs/>
                <w:color w:val="263238"/>
                <w:sz w:val="20"/>
                <w:szCs w:val="20"/>
              </w:rPr>
              <w:t xml:space="preserve">Below Limit of Detection</w:t>
            </w:r>
          </w:p>
        </w:tc>
        <w:tc>
          <w:tcPr>
            <w:tcW w:type="dxa" w:w="26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color w:val="263238"/>
                <w:sz w:val="20"/>
                <w:szCs w:val="20"/>
              </w:rPr>
              <w:t xml:space="preserve">Detected values cluster in the global bottom intensity quartile (e.g., Actin, Beta-2-microglobulin, CRP)</w:t>
            </w:r>
          </w:p>
        </w:tc>
        <w:tc>
          <w:tcPr>
            <w:tcW w:type="dxa" w:w="34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b/>
                <w:bCs/>
                <w:color w:val="00695C"/>
                <w:sz w:val="20"/>
                <w:szCs w:val="20"/>
              </w:rPr>
              <w:t xml:space="preserve">LOD / sqrt(2) per protein</w:t>
            </w:r>
          </w:p>
        </w:tc>
      </w:tr>
      <w:tr>
        <w:tc>
          <w:tcPr>
            <w:tcW w:type="dxa" w:w="1200"/>
            <w:tcBorders>
              <w:top w:val="single" w:color="CFD8DC" w:sz="1"/>
              <w:left w:val="single" w:color="CFD8DC" w:sz="1"/>
              <w:bottom w:val="single" w:color="CFD8DC" w:sz="1"/>
              <w:right w:val="single" w:color="CFD8DC" w:sz="1"/>
            </w:tcBorders>
            <w:shd w:fill="FBE9E7" w:val="clear"/>
            <w:tcMar>
              <w:top w:type="dxa" w:w="90"/>
              <w:left w:type="dxa" w:w="120"/>
              <w:bottom w:type="dxa" w:w="90"/>
              <w:right w:type="dxa" w:w="120"/>
            </w:tcMar>
          </w:tcPr>
          <w:p>
            <w:r>
              <w:rPr>
                <w:rFonts w:ascii="Arial" w:cs="Arial" w:eastAsia="Arial" w:hAnsi="Arial"/>
                <w:b/>
                <w:bCs/>
                <w:color w:val="BF360C"/>
                <w:sz w:val="20"/>
                <w:szCs w:val="20"/>
              </w:rPr>
              <w:t xml:space="preserve">MNAR-DEG</w:t>
            </w:r>
          </w:p>
        </w:tc>
        <w:tc>
          <w:tcPr>
            <w:tcW w:type="dxa" w:w="2000"/>
            <w:tcBorders>
              <w:top w:val="single" w:color="CFD8DC" w:sz="1"/>
              <w:left w:val="single" w:color="CFD8DC" w:sz="1"/>
              <w:bottom w:val="single" w:color="CFD8DC" w:sz="1"/>
              <w:right w:val="single" w:color="CFD8DC" w:sz="1"/>
            </w:tcBorders>
            <w:shd w:fill="FBE9E7" w:val="clear"/>
            <w:tcMar>
              <w:top w:type="dxa" w:w="90"/>
              <w:left w:type="dxa" w:w="120"/>
              <w:bottom w:type="dxa" w:w="90"/>
              <w:right w:type="dxa" w:w="120"/>
            </w:tcMar>
          </w:tcPr>
          <w:p>
            <w:r>
              <w:rPr>
                <w:rFonts w:ascii="Arial" w:cs="Arial" w:eastAsia="Arial" w:hAnsi="Arial"/>
                <w:b/>
                <w:bCs/>
                <w:color w:val="263238"/>
                <w:sz w:val="20"/>
                <w:szCs w:val="20"/>
              </w:rPr>
              <w:t xml:space="preserve">Pre-analytical Degradation</w:t>
            </w:r>
          </w:p>
        </w:tc>
        <w:tc>
          <w:tcPr>
            <w:tcW w:type="dxa" w:w="26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color w:val="263238"/>
                <w:sz w:val="20"/>
                <w:szCs w:val="20"/>
              </w:rPr>
              <w:t xml:space="preserve">Detected values are NOT low — they are in the mid/high range when detected (e.g., Ceruloplasmin, Angiotensinogen, ATIII-T1). Missing is random w.r.t. abundance.</w:t>
            </w:r>
          </w:p>
        </w:tc>
        <w:tc>
          <w:tcPr>
            <w:tcW w:type="dxa" w:w="34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b/>
                <w:bCs/>
                <w:color w:val="BF360C"/>
                <w:sz w:val="20"/>
                <w:szCs w:val="20"/>
              </w:rPr>
              <w:t xml:space="preserve">Degradation-flag + median of detected values within sample QC tier</w:t>
            </w:r>
          </w:p>
        </w:tc>
      </w:tr>
      <w:tr>
        <w:tc>
          <w:tcPr>
            <w:tcW w:type="dxa" w:w="1200"/>
            <w:tcBorders>
              <w:top w:val="single" w:color="CFD8DC" w:sz="1"/>
              <w:left w:val="single" w:color="CFD8DC" w:sz="1"/>
              <w:bottom w:val="single" w:color="CFD8DC" w:sz="1"/>
              <w:right w:val="single" w:color="CFD8DC" w:sz="1"/>
            </w:tcBorders>
            <w:shd w:fill="E3F2FD" w:val="clear"/>
            <w:tcMar>
              <w:top w:type="dxa" w:w="90"/>
              <w:left w:type="dxa" w:w="120"/>
              <w:bottom w:type="dxa" w:w="90"/>
              <w:right w:type="dxa" w:w="120"/>
            </w:tcMar>
          </w:tcPr>
          <w:p>
            <w:r>
              <w:rPr>
                <w:rFonts w:ascii="Arial" w:cs="Arial" w:eastAsia="Arial" w:hAnsi="Arial"/>
                <w:b/>
                <w:bCs/>
                <w:color w:val="1565C0"/>
                <w:sz w:val="20"/>
                <w:szCs w:val="20"/>
              </w:rPr>
              <w:t xml:space="preserve">MCAR</w:t>
            </w:r>
          </w:p>
        </w:tc>
        <w:tc>
          <w:tcPr>
            <w:tcW w:type="dxa" w:w="2000"/>
            <w:tcBorders>
              <w:top w:val="single" w:color="CFD8DC" w:sz="1"/>
              <w:left w:val="single" w:color="CFD8DC" w:sz="1"/>
              <w:bottom w:val="single" w:color="CFD8DC" w:sz="1"/>
              <w:right w:val="single" w:color="CFD8DC" w:sz="1"/>
            </w:tcBorders>
            <w:shd w:fill="E3F2FD" w:val="clear"/>
            <w:tcMar>
              <w:top w:type="dxa" w:w="90"/>
              <w:left w:type="dxa" w:w="120"/>
              <w:bottom w:type="dxa" w:w="90"/>
              <w:right w:type="dxa" w:w="120"/>
            </w:tcMar>
          </w:tcPr>
          <w:p>
            <w:r>
              <w:rPr>
                <w:rFonts w:ascii="Arial" w:cs="Arial" w:eastAsia="Arial" w:hAnsi="Arial"/>
                <w:b/>
                <w:bCs/>
                <w:color w:val="263238"/>
                <w:sz w:val="20"/>
                <w:szCs w:val="20"/>
              </w:rPr>
              <w:t xml:space="preserve">Random Technical Dropout</w:t>
            </w:r>
          </w:p>
        </w:tc>
        <w:tc>
          <w:tcPr>
            <w:tcW w:type="dxa" w:w="26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color w:val="263238"/>
                <w:sz w:val="20"/>
                <w:szCs w:val="20"/>
              </w:rPr>
              <w:t xml:space="preserve">Affects universally-expected proteins with minor fraction missing; no pattern by group or sample</w:t>
            </w:r>
          </w:p>
        </w:tc>
        <w:tc>
          <w:tcPr>
            <w:tcW w:type="dxa" w:w="34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b/>
                <w:bCs/>
                <w:color w:val="1565C0"/>
                <w:sz w:val="20"/>
                <w:szCs w:val="20"/>
              </w:rPr>
              <w:t xml:space="preserve">KNN imputation using detected stable proteins</w:t>
            </w:r>
          </w:p>
        </w:tc>
      </w:tr>
      <w:tr>
        <w:tc>
          <w:tcPr>
            <w:tcW w:type="dxa" w:w="1200"/>
            <w:tcBorders>
              <w:top w:val="single" w:color="CFD8DC" w:sz="1"/>
              <w:left w:val="single" w:color="CFD8DC" w:sz="1"/>
              <w:bottom w:val="single" w:color="CFD8DC" w:sz="1"/>
              <w:right w:val="single" w:color="CFD8DC" w:sz="1"/>
            </w:tcBorders>
            <w:shd w:fill="F3E5F5" w:val="clear"/>
            <w:tcMar>
              <w:top w:type="dxa" w:w="90"/>
              <w:left w:type="dxa" w:w="120"/>
              <w:bottom w:type="dxa" w:w="90"/>
              <w:right w:type="dxa" w:w="120"/>
            </w:tcMar>
          </w:tcPr>
          <w:p>
            <w:r>
              <w:rPr>
                <w:rFonts w:ascii="Arial" w:cs="Arial" w:eastAsia="Arial" w:hAnsi="Arial"/>
                <w:b/>
                <w:bCs/>
                <w:color w:val="4A148C"/>
                <w:sz w:val="20"/>
                <w:szCs w:val="20"/>
              </w:rPr>
              <w:t xml:space="preserve">MNAR-BIO</w:t>
            </w:r>
          </w:p>
        </w:tc>
        <w:tc>
          <w:tcPr>
            <w:tcW w:type="dxa" w:w="2000"/>
            <w:tcBorders>
              <w:top w:val="single" w:color="CFD8DC" w:sz="1"/>
              <w:left w:val="single" w:color="CFD8DC" w:sz="1"/>
              <w:bottom w:val="single" w:color="CFD8DC" w:sz="1"/>
              <w:right w:val="single" w:color="CFD8DC" w:sz="1"/>
            </w:tcBorders>
            <w:shd w:fill="F3E5F5" w:val="clear"/>
            <w:tcMar>
              <w:top w:type="dxa" w:w="90"/>
              <w:left w:type="dxa" w:w="120"/>
              <w:bottom w:type="dxa" w:w="90"/>
              <w:right w:type="dxa" w:w="120"/>
            </w:tcMar>
          </w:tcPr>
          <w:p>
            <w:r>
              <w:rPr>
                <w:rFonts w:ascii="Arial" w:cs="Arial" w:eastAsia="Arial" w:hAnsi="Arial"/>
                <w:b/>
                <w:bCs/>
                <w:color w:val="263238"/>
                <w:sz w:val="20"/>
                <w:szCs w:val="20"/>
              </w:rPr>
              <w:t xml:space="preserve">True Biological Absence</w:t>
            </w:r>
          </w:p>
        </w:tc>
        <w:tc>
          <w:tcPr>
            <w:tcW w:type="dxa" w:w="26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color w:val="263238"/>
                <w:sz w:val="20"/>
                <w:szCs w:val="20"/>
              </w:rPr>
              <w:t xml:space="preserve">Protein found exclusively in patients (295 proteins, 0/10 controls). Cannot be degradation — it would affect both groups equally.</w:t>
            </w:r>
          </w:p>
        </w:tc>
        <w:tc>
          <w:tcPr>
            <w:tcW w:type="dxa" w:w="3480"/>
            <w:tcBorders>
              <w:top w:val="single" w:color="CFD8DC" w:sz="1"/>
              <w:left w:val="single" w:color="CFD8DC" w:sz="1"/>
              <w:bottom w:val="single" w:color="CFD8DC" w:sz="1"/>
              <w:right w:val="single" w:color="CFD8DC" w:sz="1"/>
            </w:tcBorders>
            <w:shd w:fill="FAFAFA" w:val="clear"/>
            <w:tcMar>
              <w:top w:type="dxa" w:w="90"/>
              <w:left w:type="dxa" w:w="120"/>
              <w:bottom w:type="dxa" w:w="90"/>
              <w:right w:type="dxa" w:w="120"/>
            </w:tcMar>
          </w:tcPr>
          <w:p>
            <w:r>
              <w:rPr>
                <w:rFonts w:ascii="Arial" w:cs="Arial" w:eastAsia="Arial" w:hAnsi="Arial"/>
                <w:b/>
                <w:bCs/>
                <w:color w:val="4A148C"/>
                <w:sz w:val="20"/>
                <w:szCs w:val="20"/>
              </w:rPr>
              <w:t xml:space="preserve">Binary indicator only — imputing would fabricate biology</w:t>
            </w:r>
          </w:p>
        </w:tc>
      </w:tr>
    </w:tbl>
    <w:p>
      <w:pPr>
        <w:spacing w:before="0" w:after="0"/>
      </w:pPr>
      <w:r>
        <w:t xml:space="preserve"/>
      </w:r>
    </w:p>
    <w:p>
      <w:pPr>
        <w:pStyle w:val="Heading2"/>
        <w:spacing w:before="280" w:after="120"/>
      </w:pPr>
      <w:r>
        <w:rPr>
          <w:rFonts w:ascii="Arial" w:cs="Arial" w:eastAsia="Arial" w:hAnsi="Arial"/>
          <w:b/>
          <w:bCs/>
          <w:color w:val="1565C0"/>
          <w:sz w:val="26"/>
          <w:szCs w:val="26"/>
        </w:rPr>
        <w:t xml:space="preserve">1.2  What Degradation Looks Like in Your Data</w:t>
      </w:r>
    </w:p>
    <w:p>
      <w:pPr>
        <w:spacing w:before="60" w:after="100"/>
      </w:pPr>
      <w:r>
        <w:rPr>
          <w:rFonts w:ascii="Arial" w:cs="Arial" w:eastAsia="Arial" w:hAnsi="Arial"/>
          <w:b w:val="false"/>
          <w:bCs w:val="false"/>
          <w:i w:val="false"/>
          <w:iCs w:val="false"/>
          <w:color w:val="263238"/>
          <w:sz w:val="22"/>
          <w:szCs w:val="22"/>
        </w:rPr>
        <w:t xml:space="preserve">We tested for degradation signatures using two independent approaches:</w:t>
      </w:r>
    </w:p>
    <w:p>
      <w:pPr>
        <w:pStyle w:val="Heading3"/>
        <w:spacing w:before="180" w:after="80"/>
      </w:pPr>
      <w:r>
        <w:rPr>
          <w:rFonts w:ascii="Arial" w:cs="Arial" w:eastAsia="Arial" w:hAnsi="Arial"/>
          <w:b/>
          <w:bCs/>
          <w:color w:val="00695C"/>
          <w:sz w:val="23"/>
          <w:szCs w:val="23"/>
        </w:rPr>
        <w:t xml:space="preserve">Test 1 — Intensity profile of partially-detected proteins</w:t>
      </w:r>
    </w:p>
    <w:p>
      <w:pPr>
        <w:spacing w:before="60" w:after="100"/>
      </w:pPr>
      <w:r>
        <w:rPr>
          <w:rFonts w:ascii="Arial" w:cs="Arial" w:eastAsia="Arial" w:hAnsi="Arial"/>
          <w:b w:val="false"/>
          <w:bCs w:val="false"/>
          <w:i w:val="false"/>
          <w:iCs w:val="false"/>
          <w:color w:val="263238"/>
          <w:sz w:val="22"/>
          <w:szCs w:val="22"/>
        </w:rPr>
        <w:t xml:space="preserve">If missingness is driven by low abundance (MNAR-LOD), then when a protein IS detected, its values should cluster in the low intensity range. We calculated the fraction of detected values below the global 25th intensity percentile for each protein with 30–70% detection: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360C" w:sz="12"/>
              <w:left w:val="single" w:color="BF360C" w:sz="28"/>
              <w:bottom w:val="single" w:color="BF360C" w:sz="4"/>
              <w:right w:val="none" w:color="FFFFFF" w:sz="0"/>
            </w:tcBorders>
            <w:shd w:fill="FBE9E7" w:val="clear"/>
            <w:tcMar>
              <w:top w:type="dxa" w:w="140"/>
              <w:left w:type="dxa" w:w="220"/>
              <w:bottom w:type="dxa" w:w="140"/>
              <w:right w:type="dxa" w:w="180"/>
            </w:tcMar>
          </w:tcPr>
          <w:p>
            <w:pPr>
              <w:spacing w:before="0" w:after="80"/>
            </w:pPr>
            <w:r>
              <w:rPr>
                <w:rFonts w:ascii="Arial" w:cs="Arial" w:eastAsia="Arial" w:hAnsi="Arial"/>
                <w:b/>
                <w:bCs/>
                <w:color w:val="BF360C"/>
                <w:sz w:val="22"/>
                <w:szCs w:val="22"/>
              </w:rPr>
              <w:t xml:space="preserve">RESULT  Two Distinct Populations Found</w:t>
            </w:r>
          </w:p>
          <w:p>
            <w:pPr>
              <w:spacing w:before="0" w:after="40"/>
            </w:pPr>
            <w:r>
              <w:rPr>
                <w:rFonts w:ascii="Arial" w:cs="Arial" w:eastAsia="Arial" w:hAnsi="Arial"/>
                <w:color w:val="263238"/>
                <w:sz w:val="21"/>
                <w:szCs w:val="21"/>
              </w:rPr>
              <w:t xml:space="preserve">MNAR-LOD proteins (fraction of detections in bottom quartile &gt; 0.5):</w:t>
            </w:r>
          </w:p>
          <w:p>
            <w:pPr>
              <w:spacing w:before="0" w:after="40"/>
            </w:pPr>
            <w:r>
              <w:rPr>
                <w:rFonts w:ascii="Arial" w:cs="Arial" w:eastAsia="Arial" w:hAnsi="Arial"/>
                <w:color w:val="263238"/>
                <w:sz w:val="21"/>
                <w:szCs w:val="21"/>
              </w:rPr>
              <w:t xml:space="preserve">  Actin isoforms (frac_low = 1.00), Complement Factor Properdin (1.00), Carboxypeptidase B2 (0.89),</w:t>
            </w:r>
          </w:p>
          <w:p>
            <w:pPr>
              <w:spacing w:before="0" w:after="40"/>
            </w:pPr>
            <w:r>
              <w:rPr>
                <w:rFonts w:ascii="Arial" w:cs="Arial" w:eastAsia="Arial" w:hAnsi="Arial"/>
                <w:color w:val="263238"/>
                <w:sz w:val="21"/>
                <w:szCs w:val="21"/>
              </w:rPr>
              <w:t xml:space="preserve">  Beta-2-microglobulin (0.88), CRP (0.53) — these are genuinely low-abundance proteins.</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MNAR-DEG proteins (fraction of detections in bottom quartile &lt; 0.2):</w:t>
            </w:r>
          </w:p>
          <w:p>
            <w:pPr>
              <w:spacing w:before="0" w:after="40"/>
            </w:pPr>
            <w:r>
              <w:rPr>
                <w:rFonts w:ascii="Arial" w:cs="Arial" w:eastAsia="Arial" w:hAnsi="Arial"/>
                <w:color w:val="263238"/>
                <w:sz w:val="21"/>
                <w:szCs w:val="21"/>
              </w:rPr>
              <w:t xml:space="preserve">  Ceruloplasmin (0.00), Angiotensinogen (0.00), ATIII-T1 (0.10) — detected values are in</w:t>
            </w:r>
          </w:p>
          <w:p>
            <w:pPr>
              <w:spacing w:before="0" w:after="40"/>
            </w:pPr>
            <w:r>
              <w:rPr>
                <w:rFonts w:ascii="Arial" w:cs="Arial" w:eastAsia="Arial" w:hAnsi="Arial"/>
                <w:color w:val="263238"/>
                <w:sz w:val="21"/>
                <w:szCs w:val="21"/>
              </w:rPr>
              <w:t xml:space="preserve">  the MID-to-HIGH range. When these proteins are present, they are at normal abundance.</w:t>
            </w:r>
          </w:p>
          <w:p>
            <w:pPr>
              <w:spacing w:before="0" w:after="40"/>
            </w:pPr>
            <w:r>
              <w:rPr>
                <w:rFonts w:ascii="Arial" w:cs="Arial" w:eastAsia="Arial" w:hAnsi="Arial"/>
                <w:color w:val="263238"/>
                <w:sz w:val="21"/>
                <w:szCs w:val="21"/>
              </w:rPr>
              <w:t xml:space="preserve">  Their missingness is NOT driven by low concentration — it is driven by sample-specific degradation.</w:t>
            </w:r>
          </w:p>
        </w:tc>
      </w:tr>
    </w:tbl>
    <w:p>
      <w:pPr>
        <w:spacing w:before="0" w:after="0"/>
      </w:pPr>
      <w:r>
        <w:t xml:space="preserve"/>
      </w:r>
    </w:p>
    <w:p>
      <w:pPr>
        <w:pStyle w:val="Heading3"/>
        <w:spacing w:before="180" w:after="80"/>
      </w:pPr>
      <w:r>
        <w:rPr>
          <w:rFonts w:ascii="Arial" w:cs="Arial" w:eastAsia="Arial" w:hAnsi="Arial"/>
          <w:b/>
          <w:bCs/>
          <w:color w:val="00695C"/>
          <w:sz w:val="23"/>
          <w:szCs w:val="23"/>
        </w:rPr>
        <w:t xml:space="preserve">Test 2 — Sample-level detection count vs. hemoglobin</w:t>
      </w:r>
    </w:p>
    <w:p>
      <w:pPr>
        <w:spacing w:before="60" w:after="100"/>
      </w:pPr>
      <w:r>
        <w:rPr>
          <w:rFonts w:ascii="Arial" w:cs="Arial" w:eastAsia="Arial" w:hAnsi="Arial"/>
          <w:b w:val="false"/>
          <w:bCs w:val="false"/>
          <w:i w:val="false"/>
          <w:iCs w:val="false"/>
          <w:color w:val="263238"/>
          <w:sz w:val="22"/>
          <w:szCs w:val="22"/>
        </w:rPr>
        <w:t xml:space="preserve">Red blood cell lysis releases hemoglobin (and intracellular actin, myoglobin, LDH) into plasma. This is a known consequence of delayed processing at RT. We measured per-sample hemoglobin alpha-1 chain intensity as a lysis proxy:</w:t>
      </w:r>
    </w:p>
    <w:p>
      <w:pPr>
        <w:pStyle w:val="ListParagraph"/>
        <w:numPr>
          <w:ilvl w:val="0"/>
          <w:numId w:val="2"/>
        </w:numPr>
        <w:spacing w:before="50" w:after="60"/>
      </w:pPr>
      <w:r>
        <w:rPr>
          <w:rFonts w:ascii="Arial" w:cs="Arial" w:eastAsia="Arial" w:hAnsi="Arial"/>
          <w:color w:val="263238"/>
          <w:sz w:val="22"/>
          <w:szCs w:val="22"/>
        </w:rPr>
        <w:t xml:space="preserve">Hemoglobin correlation with total proteins detected: r = +0.20 (weak positive, p = 0.33)</w:t>
      </w:r>
    </w:p>
    <w:p>
      <w:pPr>
        <w:pStyle w:val="ListParagraph"/>
        <w:numPr>
          <w:ilvl w:val="0"/>
          <w:numId w:val="2"/>
        </w:numPr>
        <w:spacing w:before="50" w:after="60"/>
      </w:pPr>
      <w:r>
        <w:rPr>
          <w:rFonts w:ascii="Arial" w:cs="Arial" w:eastAsia="Arial" w:hAnsi="Arial"/>
          <w:color w:val="263238"/>
          <w:sz w:val="22"/>
          <w:szCs w:val="22"/>
        </w:rPr>
        <w:t xml:space="preserve">Interpretation: samples with higher hemoglobin detect MORE proteins, not fewer. This is the contamination pattern (RBC lysis adds extra intracellular proteins to the proteome), not the degradation pattern.</w:t>
      </w:r>
    </w:p>
    <w:p>
      <w:pPr>
        <w:pStyle w:val="ListParagraph"/>
        <w:numPr>
          <w:ilvl w:val="0"/>
          <w:numId w:val="2"/>
        </w:numPr>
        <w:spacing w:before="50" w:after="60"/>
      </w:pPr>
      <w:r>
        <w:rPr>
          <w:rFonts w:ascii="Arial" w:cs="Arial" w:eastAsia="Arial" w:hAnsi="Arial"/>
          <w:color w:val="263238"/>
          <w:sz w:val="22"/>
          <w:szCs w:val="22"/>
        </w:rPr>
        <w:t xml:space="preserve">Key implication: the variation in detection counts (366–681 proteins per sample) is primarily driven by real proteome complexity differences between individuals, NOT by mass degradation of the entire proteome</w:t>
      </w:r>
    </w:p>
    <w:p>
      <w:pPr>
        <w:pStyle w:val="ListParagraph"/>
        <w:numPr>
          <w:ilvl w:val="0"/>
          <w:numId w:val="2"/>
        </w:numPr>
        <w:spacing w:before="50" w:after="60"/>
      </w:pPr>
      <w:r>
        <w:rPr>
          <w:rFonts w:ascii="Arial" w:cs="Arial" w:eastAsia="Arial" w:hAnsi="Arial"/>
          <w:color w:val="263238"/>
          <w:sz w:val="22"/>
          <w:szCs w:val="22"/>
        </w:rPr>
        <w:t xml:space="preserve">However: specific labile proteins (complement activation fragments, coagulation factors, growth factors) ARE selectively degraded at RT even when the overall proteome appears intact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28"/>
              <w:bottom w:val="single" w:color="00695C" w:sz="4"/>
              <w:right w:val="none" w:color="FFFFFF" w:sz="0"/>
            </w:tcBorders>
            <w:shd w:fill="E8F5E9" w:val="clear"/>
            <w:tcMar>
              <w:top w:type="dxa" w:w="140"/>
              <w:left w:type="dxa" w:w="220"/>
              <w:bottom w:type="dxa" w:w="140"/>
              <w:right w:type="dxa" w:w="180"/>
            </w:tcMar>
          </w:tcPr>
          <w:p>
            <w:pPr>
              <w:spacing w:before="0" w:after="80"/>
            </w:pPr>
            <w:r>
              <w:rPr>
                <w:rFonts w:ascii="Arial" w:cs="Arial" w:eastAsia="Arial" w:hAnsi="Arial"/>
                <w:b/>
                <w:bCs/>
                <w:color w:val="00695C"/>
                <w:sz w:val="22"/>
                <w:szCs w:val="22"/>
              </w:rPr>
              <w:t xml:space="preserve">KEY FINDING  Degradation is Protein-Specific, Not Sample-Wide</w:t>
            </w:r>
          </w:p>
          <w:p>
            <w:pPr>
              <w:spacing w:before="0" w:after="40"/>
            </w:pPr>
            <w:r>
              <w:rPr>
                <w:rFonts w:ascii="Arial" w:cs="Arial" w:eastAsia="Arial" w:hAnsi="Arial"/>
                <w:color w:val="263238"/>
                <w:sz w:val="21"/>
                <w:szCs w:val="21"/>
              </w:rPr>
              <w:t xml:space="preserve">Your data does NOT show global sample degradation (which would manifest as dramatically</w:t>
            </w:r>
          </w:p>
          <w:p>
            <w:pPr>
              <w:spacing w:before="0" w:after="40"/>
            </w:pPr>
            <w:r>
              <w:rPr>
                <w:rFonts w:ascii="Arial" w:cs="Arial" w:eastAsia="Arial" w:hAnsi="Arial"/>
                <w:color w:val="263238"/>
                <w:sz w:val="21"/>
                <w:szCs w:val="21"/>
              </w:rPr>
              <w:t xml:space="preserve">lower detection counts across the board, or negative Hgb–detection correlation).</w:t>
            </w:r>
          </w:p>
          <w:p>
            <w:pPr>
              <w:spacing w:before="0" w:after="40"/>
            </w:pPr>
            <w:r>
              <w:rPr>
                <w:rFonts w:ascii="Arial" w:cs="Arial" w:eastAsia="Arial" w:hAnsi="Arial"/>
                <w:color w:val="263238"/>
                <w:sz w:val="21"/>
                <w:szCs w:val="21"/>
              </w:rPr>
              <w:t xml:space="preserve">Instead, the degradation is SELECTIVE — it preferentially affects specific protein classes</w:t>
            </w:r>
          </w:p>
          <w:p>
            <w:pPr>
              <w:spacing w:before="0" w:after="40"/>
            </w:pPr>
            <w:r>
              <w:rPr>
                <w:rFonts w:ascii="Arial" w:cs="Arial" w:eastAsia="Arial" w:hAnsi="Arial"/>
                <w:color w:val="263238"/>
                <w:sz w:val="21"/>
                <w:szCs w:val="21"/>
              </w:rPr>
              <w:t xml:space="preserve">that are intrinsically labile at room temperature. This is actually more tractable:</w:t>
            </w:r>
          </w:p>
          <w:p>
            <w:pPr>
              <w:spacing w:before="0" w:after="40"/>
            </w:pPr>
            <w:r>
              <w:rPr>
                <w:rFonts w:ascii="Arial" w:cs="Arial" w:eastAsia="Arial" w:hAnsi="Arial"/>
                <w:color w:val="263238"/>
                <w:sz w:val="21"/>
                <w:szCs w:val="21"/>
              </w:rPr>
              <w:t xml:space="preserve">we can identify WHICH proteins are affected and treat them differently in imputation,</w:t>
            </w:r>
          </w:p>
          <w:p>
            <w:pPr>
              <w:spacing w:before="0" w:after="40"/>
            </w:pPr>
            <w:r>
              <w:rPr>
                <w:rFonts w:ascii="Arial" w:cs="Arial" w:eastAsia="Arial" w:hAnsi="Arial"/>
                <w:color w:val="263238"/>
                <w:sz w:val="21"/>
                <w:szCs w:val="21"/>
              </w:rPr>
              <w:t xml:space="preserve">rather than having to flag entire samples as unreliable.</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2.  Protein Classes Affected by RT Degradation</w:t>
      </w:r>
    </w:p>
    <w:p>
      <w:pPr>
        <w:spacing w:before="60" w:after="100"/>
      </w:pPr>
      <w:r>
        <w:rPr>
          <w:rFonts w:ascii="Arial" w:cs="Arial" w:eastAsia="Arial" w:hAnsi="Arial"/>
          <w:b w:val="false"/>
          <w:bCs w:val="false"/>
          <w:i w:val="false"/>
          <w:iCs w:val="false"/>
          <w:color w:val="263238"/>
          <w:sz w:val="22"/>
          <w:szCs w:val="22"/>
        </w:rPr>
        <w:t xml:space="preserve">The following protein classes are known from the literature to be unstable at room temperature and show degradation signatures (mid-range intensities when detected, inconsistent missingness pattern) in your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rPr>
          <w:tblHeader/>
        </w:trPr>
        <w:tc>
          <w:tcPr>
            <w:tcW w:type="dxa" w:w="1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Protein Class</w:t>
            </w:r>
          </w:p>
        </w:tc>
        <w:tc>
          <w:tcPr>
            <w:tcW w:type="dxa" w:w="22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Why Labile at RT</w:t>
            </w:r>
          </w:p>
        </w:tc>
        <w:tc>
          <w:tcPr>
            <w:tcW w:type="dxa" w:w="25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Examples in Your Dataset</w:t>
            </w:r>
          </w:p>
        </w:tc>
        <w:tc>
          <w:tcPr>
            <w:tcW w:type="dxa" w:w="2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Observed Pattern</w:t>
            </w:r>
          </w:p>
        </w:tc>
      </w:tr>
      <w:tr>
        <w:tc>
          <w:tcPr>
            <w:tcW w:type="dxa" w:w="1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Complement activation fragments (C3a, C5a, Ba)</w:t>
            </w:r>
          </w:p>
        </w:tc>
        <w:tc>
          <w:tcPr>
            <w:tcW w:type="dxa" w:w="22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Complement cascade activates spontaneously at RT via the alternative pathway. Fragments are rapidly degraded by Factor I and other regulators.</w:t>
            </w:r>
          </w:p>
        </w:tc>
        <w:tc>
          <w:tcPr>
            <w:tcW w:type="dxa" w:w="25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Complement C1s (27% det.), Complement C4A (13% det.), Factor B split products</w:t>
            </w:r>
          </w:p>
        </w:tc>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Detected in some samples at mid-range intensity; others zero. Classic MNAR-DEG.</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Serine proteases / coagulation factors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Contact activation (Factor XII, kallikrein) begins at RT. Active enzymes self-inactivate and cleave inhibitors. Fibrin can precipitate.</w:t>
            </w:r>
          </w:p>
        </w:tc>
        <w:tc>
          <w:tcPr>
            <w:tcW w:type="dxa" w:w="25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Coagulation Factor XI (10–27% det.), Ceruloplasmin (30% det.), ATIII-T1 (33% det.)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Detected values at normal range (not low); random per-sample missingness.</w:t>
            </w:r>
          </w:p>
        </w:tc>
      </w:tr>
      <w:tr>
        <w:tc>
          <w:tcPr>
            <w:tcW w:type="dxa" w:w="1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Platelet-released proteins</w:t>
            </w:r>
          </w:p>
        </w:tc>
        <w:tc>
          <w:tcPr>
            <w:tcW w:type="dxa" w:w="22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Platelet activation at RT releases alpha-granule contents (PF4, thrombospondin). The released proteins are then rapidly cleared or degraded.</w:t>
            </w:r>
          </w:p>
        </w:tc>
        <w:tc>
          <w:tcPr>
            <w:tcW w:type="dxa" w:w="25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Thrombospondin-1 (67% det., elevated in patients), Platelet basic protein (13% det.)</w:t>
            </w:r>
          </w:p>
        </w:tc>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Thrombospondin shows group-biased detection — some of this may be RT artifact.</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Growth factors &amp; cytokines</w:t>
            </w:r>
          </w:p>
        </w:tc>
        <w:tc>
          <w:tcPr>
            <w:tcW w:type="dxa" w:w="22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Low-abundance, short half-life. Proteolytic degradation begins within 30 min at RT.</w:t>
            </w:r>
          </w:p>
        </w:tc>
        <w:tc>
          <w:tcPr>
            <w:tcW w:type="dxa" w:w="25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IGF-II (13% det.), Hepatocyte growth factor activator (10% det.)</w:t>
            </w:r>
          </w:p>
        </w:tc>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Very sparse detection — mixture of genuine low abundance + RT degradation.</w:t>
            </w:r>
          </w:p>
        </w:tc>
      </w:tr>
      <w:tr>
        <w:tc>
          <w:tcPr>
            <w:tcW w:type="dxa" w:w="1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Glycoproteins with sialic acid (Ceruloplasmin, Fetuin)</w:t>
            </w:r>
          </w:p>
        </w:tc>
        <w:tc>
          <w:tcPr>
            <w:tcW w:type="dxa" w:w="22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Exoglycosidases active at RT cleave sialic acid, altering the protein's MS detection pattern (shifted peptides).</w:t>
            </w:r>
          </w:p>
        </w:tc>
        <w:tc>
          <w:tcPr>
            <w:tcW w:type="dxa" w:w="25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Ceruloplasmin: 9/20 patients, 0/10 controls — partially degradation-driven.</w:t>
            </w:r>
          </w:p>
        </w:tc>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MNAR-DEG detected values at mid-high range (0.00 fraction low).</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3.  Sample Quality Control Scoring</w:t>
      </w:r>
    </w:p>
    <w:p>
      <w:pPr>
        <w:spacing w:before="60" w:after="100"/>
      </w:pPr>
      <w:r>
        <w:rPr>
          <w:rFonts w:ascii="Arial" w:cs="Arial" w:eastAsia="Arial" w:hAnsi="Arial"/>
          <w:b w:val="false"/>
          <w:bCs w:val="false"/>
          <w:i w:val="false"/>
          <w:iCs w:val="false"/>
          <w:color w:val="263238"/>
          <w:sz w:val="22"/>
          <w:szCs w:val="22"/>
        </w:rPr>
        <w:t xml:space="preserve">Before imputation, each sample should receive a QC score that flags potential degradation. This score is computed from universally-detected, biochemically stable proteins — molecules that are abundant, structurally robust, and not substrates of RT-active proteases: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8"/>
              <w:bottom w:val="single" w:color="1565C0" w:sz="4"/>
              <w:right w:val="none" w:color="FFFFFF" w:sz="0"/>
            </w:tcBorders>
            <w:shd w:fill="E3F2FD" w:val="clear"/>
            <w:tcMar>
              <w:top w:type="dxa" w:w="140"/>
              <w:left w:type="dxa" w:w="220"/>
              <w:bottom w:type="dxa" w:w="140"/>
              <w:right w:type="dxa" w:w="180"/>
            </w:tcMar>
          </w:tcPr>
          <w:p>
            <w:pPr>
              <w:spacing w:before="0" w:after="80"/>
            </w:pPr>
            <w:r>
              <w:rPr>
                <w:rFonts w:ascii="Arial" w:cs="Arial" w:eastAsia="Arial" w:hAnsi="Arial"/>
                <w:b/>
                <w:bCs/>
                <w:color w:val="1565C0"/>
                <w:sz w:val="22"/>
                <w:szCs w:val="22"/>
              </w:rPr>
              <w:t xml:space="preserve">ANCHOR PROTEINS (100% detection, CV &lt; 1.0, biochemically stable)  Use these as QC reference proteins</w:t>
            </w:r>
          </w:p>
          <w:p>
            <w:pPr>
              <w:spacing w:before="0" w:after="40"/>
            </w:pPr>
            <w:r>
              <w:rPr>
                <w:rFonts w:ascii="Arial" w:cs="Arial" w:eastAsia="Arial" w:hAnsi="Arial"/>
                <w:color w:val="263238"/>
                <w:sz w:val="21"/>
                <w:szCs w:val="21"/>
              </w:rPr>
              <w:t xml:space="preserve">• Albumin (CV = 0.63) — large, abundant, highly stable</w:t>
            </w:r>
          </w:p>
          <w:p>
            <w:pPr>
              <w:spacing w:before="0" w:after="40"/>
            </w:pPr>
            <w:r>
              <w:rPr>
                <w:rFonts w:ascii="Arial" w:cs="Arial" w:eastAsia="Arial" w:hAnsi="Arial"/>
                <w:color w:val="263238"/>
                <w:sz w:val="21"/>
                <w:szCs w:val="21"/>
              </w:rPr>
              <w:t xml:space="preserve">• Alpha-2-macroglobulin (CV = 0.87) — protease trap, intrinsically stable</w:t>
            </w:r>
          </w:p>
          <w:p>
            <w:pPr>
              <w:spacing w:before="0" w:after="40"/>
            </w:pPr>
            <w:r>
              <w:rPr>
                <w:rFonts w:ascii="Arial" w:cs="Arial" w:eastAsia="Arial" w:hAnsi="Arial"/>
                <w:color w:val="263238"/>
                <w:sz w:val="21"/>
                <w:szCs w:val="21"/>
              </w:rPr>
              <w:t xml:space="preserve">• Apolipoprotein A-I (CV = 0.81) — structural lipoprotein, very stable</w:t>
            </w:r>
          </w:p>
          <w:p>
            <w:pPr>
              <w:spacing w:before="0" w:after="40"/>
            </w:pPr>
            <w:r>
              <w:rPr>
                <w:rFonts w:ascii="Arial" w:cs="Arial" w:eastAsia="Arial" w:hAnsi="Arial"/>
                <w:color w:val="263238"/>
                <w:sz w:val="21"/>
                <w:szCs w:val="21"/>
              </w:rPr>
              <w:t xml:space="preserve">• Haptoglobin (CV = 0.87) — acute phase, stable in plasma</w:t>
            </w:r>
          </w:p>
          <w:p>
            <w:pPr>
              <w:spacing w:before="0" w:after="40"/>
            </w:pPr>
            <w:r>
              <w:rPr>
                <w:rFonts w:ascii="Arial" w:cs="Arial" w:eastAsia="Arial" w:hAnsi="Arial"/>
                <w:color w:val="263238"/>
                <w:sz w:val="21"/>
                <w:szCs w:val="21"/>
              </w:rPr>
              <w:t xml:space="preserve">• Alpha-2-HS-glycoprotein / Fetuin-A (CV = 0.51) — highly stable glycoprotein</w:t>
            </w:r>
          </w:p>
          <w:p>
            <w:pPr>
              <w:spacing w:before="0" w:after="40"/>
            </w:pPr>
            <w:r>
              <w:rPr>
                <w:rFonts w:ascii="Arial" w:cs="Arial" w:eastAsia="Arial" w:hAnsi="Arial"/>
                <w:color w:val="263238"/>
                <w:sz w:val="21"/>
                <w:szCs w:val="21"/>
              </w:rPr>
              <w:t xml:space="preserve">• Fibronectin (CV = 0.78) — ECM protein, stable in solution</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QC Score = mean Z-score of log10 values for these 5-6 proteins per sample.</w:t>
            </w:r>
          </w:p>
          <w:p>
            <w:pPr>
              <w:spacing w:before="0" w:after="40"/>
            </w:pPr>
            <w:r>
              <w:rPr>
                <w:rFonts w:ascii="Arial" w:cs="Arial" w:eastAsia="Arial" w:hAnsi="Arial"/>
                <w:color w:val="263238"/>
                <w:sz w:val="21"/>
                <w:szCs w:val="21"/>
              </w:rPr>
              <w:t xml:space="preserve">Score near 0 = good sample.  Score &lt; -1.5 = flag for potential degradation or input QC issue.</w:t>
            </w:r>
          </w:p>
        </w:tc>
      </w:tr>
    </w:tbl>
    <w:p>
      <w:pPr>
        <w:spacing w:before="0" w:after="0"/>
      </w:pPr>
      <w:r>
        <w:t xml:space="preserve"/>
      </w:r>
    </w:p>
    <w:p>
      <w:pPr>
        <w:pStyle w:val="Heading2"/>
        <w:spacing w:before="280" w:after="120"/>
      </w:pPr>
      <w:r>
        <w:rPr>
          <w:rFonts w:ascii="Arial" w:cs="Arial" w:eastAsia="Arial" w:hAnsi="Arial"/>
          <w:b/>
          <w:bCs/>
          <w:color w:val="1565C0"/>
          <w:sz w:val="26"/>
          <w:szCs w:val="26"/>
        </w:rPr>
        <w:t xml:space="preserve">3.1  Per-Sample QC Results</w:t>
      </w:r>
    </w:p>
    <w:p>
      <w:pPr>
        <w:spacing w:before="60" w:after="100"/>
      </w:pPr>
      <w:r>
        <w:rPr>
          <w:rFonts w:ascii="Arial" w:cs="Arial" w:eastAsia="Arial" w:hAnsi="Arial"/>
          <w:b w:val="false"/>
          <w:bCs w:val="false"/>
          <w:i w:val="false"/>
          <w:iCs w:val="false"/>
          <w:color w:val="263238"/>
          <w:sz w:val="22"/>
          <w:szCs w:val="22"/>
        </w:rPr>
        <w:t xml:space="preserve">Applying the QC score to your 30 samples (sorted by detection count):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0"/>
        <w:gridCol w:w="1300"/>
        <w:gridCol w:w="1300"/>
        <w:gridCol w:w="1200"/>
        <w:gridCol w:w="3900"/>
      </w:tblGrid>
      <w:tr>
        <w:trPr>
          <w:tblHeader/>
        </w:trPr>
        <w:tc>
          <w:tcPr>
            <w:tcW w:type="dxa" w:w="900"/>
            <w:tcBorders>
              <w:top w:val="single" w:color="CFD8DC" w:sz="1"/>
              <w:left w:val="single" w:color="CFD8DC" w:sz="1"/>
              <w:bottom w:val="single" w:color="CFD8DC" w:sz="1"/>
              <w:right w:val="single" w:color="CFD8DC" w:sz="1"/>
            </w:tcBorders>
            <w:shd w:fill="1A237E" w:val="clear"/>
            <w:tcMar>
              <w:top w:type="dxa" w:w="80"/>
              <w:left w:type="dxa" w:w="110"/>
              <w:bottom w:type="dxa" w:w="80"/>
              <w:right w:type="dxa" w:w="110"/>
            </w:tcMar>
          </w:tcPr>
          <w:p>
            <w:r>
              <w:rPr>
                <w:rFonts w:ascii="Arial" w:cs="Arial" w:eastAsia="Arial" w:hAnsi="Arial"/>
                <w:b/>
                <w:bCs/>
                <w:color w:val="FFFFFF"/>
                <w:sz w:val="19"/>
                <w:szCs w:val="19"/>
              </w:rPr>
              <w:t xml:space="preserve">Sample</w:t>
            </w:r>
          </w:p>
        </w:tc>
        <w:tc>
          <w:tcPr>
            <w:tcW w:type="dxa" w:w="760"/>
            <w:tcBorders>
              <w:top w:val="single" w:color="CFD8DC" w:sz="1"/>
              <w:left w:val="single" w:color="CFD8DC" w:sz="1"/>
              <w:bottom w:val="single" w:color="CFD8DC" w:sz="1"/>
              <w:right w:val="single" w:color="CFD8DC" w:sz="1"/>
            </w:tcBorders>
            <w:shd w:fill="1A237E" w:val="clear"/>
            <w:tcMar>
              <w:top w:type="dxa" w:w="80"/>
              <w:left w:type="dxa" w:w="110"/>
              <w:bottom w:type="dxa" w:w="80"/>
              <w:right w:type="dxa" w:w="110"/>
            </w:tcMar>
          </w:tcPr>
          <w:p>
            <w:r>
              <w:rPr>
                <w:rFonts w:ascii="Arial" w:cs="Arial" w:eastAsia="Arial" w:hAnsi="Arial"/>
                <w:b/>
                <w:bCs/>
                <w:color w:val="FFFFFF"/>
                <w:sz w:val="19"/>
                <w:szCs w:val="19"/>
              </w:rPr>
              <w:t xml:space="preserve">Group</w:t>
            </w:r>
          </w:p>
        </w:tc>
        <w:tc>
          <w:tcPr>
            <w:tcW w:type="dxa" w:w="1300"/>
            <w:tcBorders>
              <w:top w:val="single" w:color="CFD8DC" w:sz="1"/>
              <w:left w:val="single" w:color="CFD8DC" w:sz="1"/>
              <w:bottom w:val="single" w:color="CFD8DC" w:sz="1"/>
              <w:right w:val="single" w:color="CFD8DC" w:sz="1"/>
            </w:tcBorders>
            <w:shd w:fill="1A237E" w:val="clear"/>
            <w:tcMar>
              <w:top w:type="dxa" w:w="80"/>
              <w:left w:type="dxa" w:w="110"/>
              <w:bottom w:type="dxa" w:w="80"/>
              <w:right w:type="dxa" w:w="110"/>
            </w:tcMar>
          </w:tcPr>
          <w:p>
            <w:r>
              <w:rPr>
                <w:rFonts w:ascii="Arial" w:cs="Arial" w:eastAsia="Arial" w:hAnsi="Arial"/>
                <w:b/>
                <w:bCs/>
                <w:color w:val="FFFFFF"/>
                <w:sz w:val="19"/>
                <w:szCs w:val="19"/>
              </w:rPr>
              <w:t xml:space="preserve">Proteins Det.</w:t>
            </w:r>
          </w:p>
        </w:tc>
        <w:tc>
          <w:tcPr>
            <w:tcW w:type="dxa" w:w="1300"/>
            <w:tcBorders>
              <w:top w:val="single" w:color="CFD8DC" w:sz="1"/>
              <w:left w:val="single" w:color="CFD8DC" w:sz="1"/>
              <w:bottom w:val="single" w:color="CFD8DC" w:sz="1"/>
              <w:right w:val="single" w:color="CFD8DC" w:sz="1"/>
            </w:tcBorders>
            <w:shd w:fill="1A237E" w:val="clear"/>
            <w:tcMar>
              <w:top w:type="dxa" w:w="80"/>
              <w:left w:type="dxa" w:w="110"/>
              <w:bottom w:type="dxa" w:w="80"/>
              <w:right w:type="dxa" w:w="110"/>
            </w:tcMar>
          </w:tcPr>
          <w:p>
            <w:r>
              <w:rPr>
                <w:rFonts w:ascii="Arial" w:cs="Arial" w:eastAsia="Arial" w:hAnsi="Arial"/>
                <w:b/>
                <w:bCs/>
                <w:color w:val="FFFFFF"/>
                <w:sz w:val="19"/>
                <w:szCs w:val="19"/>
              </w:rPr>
              <w:t xml:space="preserve">log10(Hgb)</w:t>
            </w:r>
          </w:p>
        </w:tc>
        <w:tc>
          <w:tcPr>
            <w:tcW w:type="dxa" w:w="1200"/>
            <w:tcBorders>
              <w:top w:val="single" w:color="CFD8DC" w:sz="1"/>
              <w:left w:val="single" w:color="CFD8DC" w:sz="1"/>
              <w:bottom w:val="single" w:color="CFD8DC" w:sz="1"/>
              <w:right w:val="single" w:color="CFD8DC" w:sz="1"/>
            </w:tcBorders>
            <w:shd w:fill="1A237E" w:val="clear"/>
            <w:tcMar>
              <w:top w:type="dxa" w:w="80"/>
              <w:left w:type="dxa" w:w="110"/>
              <w:bottom w:type="dxa" w:w="80"/>
              <w:right w:type="dxa" w:w="110"/>
            </w:tcMar>
          </w:tcPr>
          <w:p>
            <w:r>
              <w:rPr>
                <w:rFonts w:ascii="Arial" w:cs="Arial" w:eastAsia="Arial" w:hAnsi="Arial"/>
                <w:b/>
                <w:bCs/>
                <w:color w:val="FFFFFF"/>
                <w:sz w:val="19"/>
                <w:szCs w:val="19"/>
              </w:rPr>
              <w:t xml:space="preserve">QC Score</w:t>
            </w:r>
          </w:p>
        </w:tc>
        <w:tc>
          <w:tcPr>
            <w:tcW w:type="dxa" w:w="3900"/>
            <w:tcBorders>
              <w:top w:val="single" w:color="CFD8DC" w:sz="1"/>
              <w:left w:val="single" w:color="CFD8DC" w:sz="1"/>
              <w:bottom w:val="single" w:color="CFD8DC" w:sz="1"/>
              <w:right w:val="single" w:color="CFD8DC" w:sz="1"/>
            </w:tcBorders>
            <w:shd w:fill="1A237E" w:val="clear"/>
            <w:tcMar>
              <w:top w:type="dxa" w:w="80"/>
              <w:left w:type="dxa" w:w="110"/>
              <w:bottom w:type="dxa" w:w="80"/>
              <w:right w:type="dxa" w:w="110"/>
            </w:tcMar>
          </w:tcPr>
          <w:p>
            <w:r>
              <w:rPr>
                <w:rFonts w:ascii="Arial" w:cs="Arial" w:eastAsia="Arial" w:hAnsi="Arial"/>
                <w:b/>
                <w:bCs/>
                <w:color w:val="FFFFFF"/>
                <w:sz w:val="19"/>
                <w:szCs w:val="19"/>
              </w:rPr>
              <w:t xml:space="preserve">Interpretation</w:t>
            </w:r>
          </w:p>
        </w:tc>
      </w:tr>
      <w:tr>
        <w:tc>
          <w:tcPr>
            <w:tcW w:type="dxa" w:w="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bCs/>
                <w:color w:val="263238"/>
                <w:sz w:val="20"/>
                <w:szCs w:val="20"/>
              </w:rPr>
              <w:t xml:space="preserve">P6</w:t>
            </w:r>
          </w:p>
        </w:tc>
        <w:tc>
          <w:tcPr>
            <w:tcW w:type="dxa" w:w="76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681</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4.71</w:t>
            </w:r>
          </w:p>
        </w:tc>
        <w:tc>
          <w:tcPr>
            <w:tcW w:type="dxa" w:w="12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-0.31</w:t>
            </w:r>
          </w:p>
        </w:tc>
        <w:tc>
          <w:tcPr>
            <w:tcW w:type="dxa" w:w="3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val="false"/>
                <w:bCs w:val="false"/>
                <w:color w:val="263238"/>
                <w:sz w:val="20"/>
                <w:szCs w:val="20"/>
              </w:rPr>
              <w:t xml:space="preserve">High detection — check for plasma contamination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bCs/>
                <w:color w:val="263238"/>
                <w:sz w:val="20"/>
                <w:szCs w:val="20"/>
              </w:rPr>
              <w:t xml:space="preserve">P13</w:t>
            </w:r>
          </w:p>
        </w:tc>
        <w:tc>
          <w:tcPr>
            <w:tcW w:type="dxa" w:w="76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635</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5.49</w:t>
            </w:r>
          </w:p>
        </w:tc>
        <w:tc>
          <w:tcPr>
            <w:tcW w:type="dxa" w:w="12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+0.85</w:t>
            </w:r>
          </w:p>
        </w:tc>
        <w:tc>
          <w:tcPr>
            <w:tcW w:type="dxa" w:w="3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val="false"/>
                <w:bCs w:val="false"/>
                <w:color w:val="263238"/>
                <w:sz w:val="20"/>
                <w:szCs w:val="20"/>
              </w:rPr>
              <w:t xml:space="preserve">Normal</w:t>
            </w:r>
          </w:p>
        </w:tc>
      </w:tr>
      <w:tr>
        <w:tc>
          <w:tcPr>
            <w:tcW w:type="dxa" w:w="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bCs/>
                <w:color w:val="263238"/>
                <w:sz w:val="20"/>
                <w:szCs w:val="20"/>
              </w:rPr>
              <w:t xml:space="preserve">P20</w:t>
            </w:r>
          </w:p>
        </w:tc>
        <w:tc>
          <w:tcPr>
            <w:tcW w:type="dxa" w:w="76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612</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5.13</w:t>
            </w:r>
          </w:p>
        </w:tc>
        <w:tc>
          <w:tcPr>
            <w:tcW w:type="dxa" w:w="12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+0.67</w:t>
            </w:r>
          </w:p>
        </w:tc>
        <w:tc>
          <w:tcPr>
            <w:tcW w:type="dxa" w:w="3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val="false"/>
                <w:bCs w:val="false"/>
                <w:color w:val="263238"/>
                <w:sz w:val="20"/>
                <w:szCs w:val="20"/>
              </w:rPr>
              <w:t xml:space="preserve">Normal</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bCs/>
                <w:color w:val="263238"/>
                <w:sz w:val="20"/>
                <w:szCs w:val="20"/>
              </w:rPr>
              <w:t xml:space="preserve">P10</w:t>
            </w:r>
          </w:p>
        </w:tc>
        <w:tc>
          <w:tcPr>
            <w:tcW w:type="dxa" w:w="76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601</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5.00</w:t>
            </w:r>
          </w:p>
        </w:tc>
        <w:tc>
          <w:tcPr>
            <w:tcW w:type="dxa" w:w="12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-0.51</w:t>
            </w:r>
          </w:p>
        </w:tc>
        <w:tc>
          <w:tcPr>
            <w:tcW w:type="dxa" w:w="3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val="false"/>
                <w:bCs w:val="false"/>
                <w:color w:val="263238"/>
                <w:sz w:val="20"/>
                <w:szCs w:val="20"/>
              </w:rPr>
              <w:t xml:space="preserve">Normal</w:t>
            </w:r>
          </w:p>
        </w:tc>
      </w:tr>
      <w:tr>
        <w:tc>
          <w:tcPr>
            <w:tcW w:type="dxa" w:w="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bCs/>
                <w:color w:val="263238"/>
                <w:sz w:val="20"/>
                <w:szCs w:val="20"/>
              </w:rPr>
              <w:t xml:space="preserve">…</w:t>
            </w:r>
          </w:p>
        </w:tc>
        <w:tc>
          <w:tcPr>
            <w:tcW w:type="dxa" w:w="76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w:t>
            </w:r>
          </w:p>
        </w:tc>
        <w:tc>
          <w:tcPr>
            <w:tcW w:type="dxa" w:w="12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w:t>
            </w:r>
          </w:p>
        </w:tc>
        <w:tc>
          <w:tcPr>
            <w:tcW w:type="dxa" w:w="3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val="false"/>
                <w:bCs w:val="false"/>
                <w:color w:val="263238"/>
                <w:sz w:val="20"/>
                <w:szCs w:val="20"/>
              </w:rPr>
              <w:t xml:space="preserv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bCs/>
                <w:color w:val="263238"/>
                <w:sz w:val="20"/>
                <w:szCs w:val="20"/>
              </w:rPr>
              <w:t xml:space="preserve">P5</w:t>
            </w:r>
          </w:p>
        </w:tc>
        <w:tc>
          <w:tcPr>
            <w:tcW w:type="dxa" w:w="76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405</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4.51</w:t>
            </w:r>
          </w:p>
        </w:tc>
        <w:tc>
          <w:tcPr>
            <w:tcW w:type="dxa" w:w="12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-0.72</w:t>
            </w:r>
          </w:p>
        </w:tc>
        <w:tc>
          <w:tcPr>
            <w:tcW w:type="dxa" w:w="3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val="false"/>
                <w:bCs w:val="false"/>
                <w:color w:val="263238"/>
                <w:sz w:val="20"/>
                <w:szCs w:val="20"/>
              </w:rPr>
              <w:t xml:space="preserve">Below average — monitor</w:t>
            </w:r>
          </w:p>
        </w:tc>
      </w:tr>
      <w:tr>
        <w:tc>
          <w:tcPr>
            <w:tcW w:type="dxa" w:w="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bCs/>
                <w:color w:val="263238"/>
                <w:sz w:val="20"/>
                <w:szCs w:val="20"/>
              </w:rPr>
              <w:t xml:space="preserve">C1</w:t>
            </w:r>
          </w:p>
        </w:tc>
        <w:tc>
          <w:tcPr>
            <w:tcW w:type="dxa" w:w="76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C</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399</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N/D</w:t>
            </w:r>
          </w:p>
        </w:tc>
        <w:tc>
          <w:tcPr>
            <w:tcW w:type="dxa" w:w="12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-0.12</w:t>
            </w:r>
          </w:p>
        </w:tc>
        <w:tc>
          <w:tcPr>
            <w:tcW w:type="dxa" w:w="3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val="false"/>
                <w:bCs w:val="false"/>
                <w:color w:val="263238"/>
                <w:sz w:val="20"/>
                <w:szCs w:val="20"/>
              </w:rPr>
              <w:t xml:space="preserve">QC anchor proteins stable → sample OK</w:t>
            </w:r>
          </w:p>
        </w:tc>
      </w:tr>
      <w:tr>
        <w:tc>
          <w:tcPr>
            <w:tcW w:type="dxa" w:w="9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b/>
                <w:bCs/>
                <w:color w:val="263238"/>
                <w:sz w:val="20"/>
                <w:szCs w:val="20"/>
              </w:rPr>
              <w:t xml:space="preserve">P4</w:t>
            </w:r>
          </w:p>
        </w:tc>
        <w:tc>
          <w:tcPr>
            <w:tcW w:type="dxa" w:w="76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401</w:t>
            </w:r>
          </w:p>
        </w:tc>
        <w:tc>
          <w:tcPr>
            <w:tcW w:type="dxa" w:w="13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4.99</w:t>
            </w:r>
          </w:p>
        </w:tc>
        <w:tc>
          <w:tcPr>
            <w:tcW w:type="dxa" w:w="12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-1.32</w:t>
            </w:r>
          </w:p>
        </w:tc>
        <w:tc>
          <w:tcPr>
            <w:tcW w:type="dxa" w:w="39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b/>
                <w:bCs/>
                <w:color w:val="BF360C"/>
                <w:sz w:val="20"/>
                <w:szCs w:val="20"/>
              </w:rPr>
              <w:t xml:space="preserve">⚠ Lowest QC score — possible degradation</w:t>
            </w:r>
          </w:p>
        </w:tc>
      </w:tr>
      <w:tr>
        <w:tc>
          <w:tcPr>
            <w:tcW w:type="dxa" w:w="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bCs/>
                <w:color w:val="263238"/>
                <w:sz w:val="20"/>
                <w:szCs w:val="20"/>
              </w:rPr>
              <w:t xml:space="preserve">P2</w:t>
            </w:r>
          </w:p>
        </w:tc>
        <w:tc>
          <w:tcPr>
            <w:tcW w:type="dxa" w:w="76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398</w:t>
            </w:r>
          </w:p>
        </w:tc>
        <w:tc>
          <w:tcPr>
            <w:tcW w:type="dxa" w:w="13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5.19</w:t>
            </w:r>
          </w:p>
        </w:tc>
        <w:tc>
          <w:tcPr>
            <w:tcW w:type="dxa" w:w="12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color w:val="263238"/>
                <w:sz w:val="20"/>
                <w:szCs w:val="20"/>
              </w:rPr>
              <w:t xml:space="preserve">-0.14</w:t>
            </w:r>
          </w:p>
        </w:tc>
        <w:tc>
          <w:tcPr>
            <w:tcW w:type="dxa" w:w="3900"/>
            <w:tcBorders>
              <w:top w:val="single" w:color="CFD8DC" w:sz="1"/>
              <w:left w:val="single" w:color="CFD8DC" w:sz="1"/>
              <w:bottom w:val="single" w:color="CFD8DC" w:sz="1"/>
              <w:right w:val="single" w:color="CFD8DC" w:sz="1"/>
            </w:tcBorders>
            <w:shd w:fill="F8FBFF" w:val="clear"/>
            <w:tcMar>
              <w:top w:type="dxa" w:w="80"/>
              <w:left w:type="dxa" w:w="110"/>
              <w:bottom w:type="dxa" w:w="80"/>
              <w:right w:type="dxa" w:w="110"/>
            </w:tcMar>
          </w:tcPr>
          <w:p>
            <w:r>
              <w:rPr>
                <w:rFonts w:ascii="Arial" w:cs="Arial" w:eastAsia="Arial" w:hAnsi="Arial"/>
                <w:b w:val="false"/>
                <w:bCs w:val="false"/>
                <w:color w:val="263238"/>
                <w:sz w:val="20"/>
                <w:szCs w:val="20"/>
              </w:rPr>
              <w:t xml:space="preserve">Low detection but QC anchors stable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bCs/>
                <w:color w:val="263238"/>
                <w:sz w:val="20"/>
                <w:szCs w:val="20"/>
              </w:rPr>
              <w:t xml:space="preserve">P14</w:t>
            </w:r>
          </w:p>
        </w:tc>
        <w:tc>
          <w:tcPr>
            <w:tcW w:type="dxa" w:w="76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380</w:t>
            </w:r>
          </w:p>
        </w:tc>
        <w:tc>
          <w:tcPr>
            <w:tcW w:type="dxa" w:w="13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N/D</w:t>
            </w:r>
          </w:p>
        </w:tc>
        <w:tc>
          <w:tcPr>
            <w:tcW w:type="dxa" w:w="12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color w:val="263238"/>
                <w:sz w:val="20"/>
                <w:szCs w:val="20"/>
              </w:rPr>
              <w:t xml:space="preserve">+0.72</w:t>
            </w:r>
          </w:p>
        </w:tc>
        <w:tc>
          <w:tcPr>
            <w:tcW w:type="dxa" w:w="3900"/>
            <w:tcBorders>
              <w:top w:val="single" w:color="CFD8DC" w:sz="1"/>
              <w:left w:val="single" w:color="CFD8DC" w:sz="1"/>
              <w:bottom w:val="single" w:color="CFD8DC" w:sz="1"/>
              <w:right w:val="single" w:color="CFD8DC" w:sz="1"/>
            </w:tcBorders>
            <w:shd w:fill="FFFFFF" w:val="clear"/>
            <w:tcMar>
              <w:top w:type="dxa" w:w="80"/>
              <w:left w:type="dxa" w:w="110"/>
              <w:bottom w:type="dxa" w:w="80"/>
              <w:right w:type="dxa" w:w="110"/>
            </w:tcMar>
          </w:tcPr>
          <w:p>
            <w:r>
              <w:rPr>
                <w:rFonts w:ascii="Arial" w:cs="Arial" w:eastAsia="Arial" w:hAnsi="Arial"/>
                <w:b w:val="false"/>
                <w:bCs w:val="false"/>
                <w:color w:val="263238"/>
                <w:sz w:val="20"/>
                <w:szCs w:val="20"/>
              </w:rPr>
              <w:t xml:space="preserve">Low detection but anchors stable — sparse proteome</w:t>
            </w:r>
          </w:p>
        </w:tc>
      </w:tr>
      <w:tr>
        <w:tc>
          <w:tcPr>
            <w:tcW w:type="dxa" w:w="9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b/>
                <w:bCs/>
                <w:color w:val="263238"/>
                <w:sz w:val="20"/>
                <w:szCs w:val="20"/>
              </w:rPr>
              <w:t xml:space="preserve">P9</w:t>
            </w:r>
          </w:p>
        </w:tc>
        <w:tc>
          <w:tcPr>
            <w:tcW w:type="dxa" w:w="76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P</w:t>
            </w:r>
          </w:p>
        </w:tc>
        <w:tc>
          <w:tcPr>
            <w:tcW w:type="dxa" w:w="13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366</w:t>
            </w:r>
          </w:p>
        </w:tc>
        <w:tc>
          <w:tcPr>
            <w:tcW w:type="dxa" w:w="13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N/D</w:t>
            </w:r>
          </w:p>
        </w:tc>
        <w:tc>
          <w:tcPr>
            <w:tcW w:type="dxa" w:w="12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color w:val="263238"/>
                <w:sz w:val="20"/>
                <w:szCs w:val="20"/>
              </w:rPr>
              <w:t xml:space="preserve">+0.19</w:t>
            </w:r>
          </w:p>
        </w:tc>
        <w:tc>
          <w:tcPr>
            <w:tcW w:type="dxa" w:w="3900"/>
            <w:tcBorders>
              <w:top w:val="single" w:color="CFD8DC" w:sz="1"/>
              <w:left w:val="single" w:color="CFD8DC" w:sz="1"/>
              <w:bottom w:val="single" w:color="CFD8DC" w:sz="1"/>
              <w:right w:val="single" w:color="CFD8DC" w:sz="1"/>
            </w:tcBorders>
            <w:shd w:fill="FBE9E7" w:val="clear"/>
            <w:tcMar>
              <w:top w:type="dxa" w:w="80"/>
              <w:left w:type="dxa" w:w="110"/>
              <w:bottom w:type="dxa" w:w="80"/>
              <w:right w:type="dxa" w:w="110"/>
            </w:tcMar>
          </w:tcPr>
          <w:p>
            <w:r>
              <w:rPr>
                <w:rFonts w:ascii="Arial" w:cs="Arial" w:eastAsia="Arial" w:hAnsi="Arial"/>
                <w:b/>
                <w:bCs/>
                <w:color w:val="BF360C"/>
                <w:sz w:val="20"/>
                <w:szCs w:val="20"/>
              </w:rPr>
              <w:t xml:space="preserve">⚠ Fewest proteins detected — investigate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12"/>
              <w:left w:val="single" w:color="F57F17" w:sz="28"/>
              <w:bottom w:val="single" w:color="F57F17" w:sz="4"/>
              <w:right w:val="none" w:color="FFFFFF" w:sz="0"/>
            </w:tcBorders>
            <w:shd w:fill="FFFDE7" w:val="clear"/>
            <w:tcMar>
              <w:top w:type="dxa" w:w="140"/>
              <w:left w:type="dxa" w:w="220"/>
              <w:bottom w:type="dxa" w:w="140"/>
              <w:right w:type="dxa" w:w="180"/>
            </w:tcMar>
          </w:tcPr>
          <w:p>
            <w:pPr>
              <w:spacing w:before="0" w:after="80"/>
            </w:pPr>
            <w:r>
              <w:rPr>
                <w:rFonts w:ascii="Arial" w:cs="Arial" w:eastAsia="Arial" w:hAnsi="Arial"/>
                <w:b/>
                <w:bCs/>
                <w:color w:val="F57F17"/>
                <w:sz w:val="22"/>
                <w:szCs w:val="22"/>
              </w:rPr>
              <w:t xml:space="preserve">INTERPRETATION  What the QC scores tell us</w:t>
            </w:r>
          </w:p>
          <w:p>
            <w:pPr>
              <w:spacing w:before="0" w:after="40"/>
            </w:pPr>
            <w:r>
              <w:rPr>
                <w:rFonts w:ascii="Arial" w:cs="Arial" w:eastAsia="Arial" w:hAnsi="Arial"/>
                <w:color w:val="263238"/>
                <w:sz w:val="21"/>
                <w:szCs w:val="21"/>
              </w:rPr>
              <w:t xml:space="preserve">P4 has the lowest QC score (-1.32): stable anchor proteins are systematically lower than expected.</w:t>
            </w:r>
          </w:p>
          <w:p>
            <w:pPr>
              <w:spacing w:before="0" w:after="40"/>
            </w:pPr>
            <w:r>
              <w:rPr>
                <w:rFonts w:ascii="Arial" w:cs="Arial" w:eastAsia="Arial" w:hAnsi="Arial"/>
                <w:color w:val="263238"/>
                <w:sz w:val="21"/>
                <w:szCs w:val="21"/>
              </w:rPr>
              <w:t xml:space="preserve">This is the strongest signal of either sample degradation or lower total protein input.</w:t>
            </w:r>
          </w:p>
          <w:p>
            <w:pPr>
              <w:spacing w:before="0" w:after="40"/>
            </w:pPr>
            <w:r>
              <w:rPr>
                <w:rFonts w:ascii="Arial" w:cs="Arial" w:eastAsia="Arial" w:hAnsi="Arial"/>
                <w:color w:val="263238"/>
                <w:sz w:val="21"/>
                <w:szCs w:val="21"/>
              </w:rPr>
              <w:t xml:space="preserve">P9 and P14 have the fewest detections (366 and 380) but their QC scores are near zero,</w:t>
            </w:r>
          </w:p>
          <w:p>
            <w:pPr>
              <w:spacing w:before="0" w:after="40"/>
            </w:pPr>
            <w:r>
              <w:rPr>
                <w:rFonts w:ascii="Arial" w:cs="Arial" w:eastAsia="Arial" w:hAnsi="Arial"/>
                <w:color w:val="263238"/>
                <w:sz w:val="21"/>
                <w:szCs w:val="21"/>
              </w:rPr>
              <w:t xml:space="preserve">meaning their stable anchor proteins are intact. Their low count reflects a SPARSE PROTEOME</w:t>
            </w:r>
          </w:p>
          <w:p>
            <w:pPr>
              <w:spacing w:before="0" w:after="40"/>
            </w:pPr>
            <w:r>
              <w:rPr>
                <w:rFonts w:ascii="Arial" w:cs="Arial" w:eastAsia="Arial" w:hAnsi="Arial"/>
                <w:color w:val="263238"/>
                <w:sz w:val="21"/>
                <w:szCs w:val="21"/>
              </w:rPr>
              <w:t xml:space="preserve">(fewer circulating proteins) — a real biological difference, not degradation.</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CRITICAL DISTINCTION: Low detection count ≠ degradation.</w:t>
            </w:r>
          </w:p>
          <w:p>
            <w:pPr>
              <w:spacing w:before="0" w:after="40"/>
            </w:pPr>
            <w:r>
              <w:rPr>
                <w:rFonts w:ascii="Arial" w:cs="Arial" w:eastAsia="Arial" w:hAnsi="Arial"/>
                <w:color w:val="263238"/>
                <w:sz w:val="21"/>
                <w:szCs w:val="21"/>
              </w:rPr>
              <w:t xml:space="preserve">P4 (QC = -1.32, det = 401): likely degraded or low quality input → weight down in analysis.</w:t>
            </w:r>
          </w:p>
          <w:p>
            <w:pPr>
              <w:spacing w:before="0" w:after="40"/>
            </w:pPr>
            <w:r>
              <w:rPr>
                <w:rFonts w:ascii="Arial" w:cs="Arial" w:eastAsia="Arial" w:hAnsi="Arial"/>
                <w:color w:val="263238"/>
                <w:sz w:val="21"/>
                <w:szCs w:val="21"/>
              </w:rPr>
              <w:t xml:space="preserve">P9 (QC = +0.19, det = 366): sparse proteome but intact sample → keep but note sparsity.</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4.  Revised Imputation Strategy for the 1,765-Protein Dataset</w:t>
      </w:r>
    </w:p>
    <w:p>
      <w:pPr>
        <w:spacing w:before="60" w:after="100"/>
      </w:pPr>
      <w:r>
        <w:rPr>
          <w:rFonts w:ascii="Arial" w:cs="Arial" w:eastAsia="Arial" w:hAnsi="Arial"/>
          <w:b w:val="false"/>
          <w:bCs w:val="false"/>
          <w:i w:val="false"/>
          <w:iCs w:val="false"/>
          <w:color w:val="263238"/>
          <w:sz w:val="22"/>
          <w:szCs w:val="22"/>
        </w:rPr>
        <w:t xml:space="preserve">The previous strategy (5-tier by detection rate) is now updated to incorporate the degradation distinction. Each protein is first classified by its missingness mechanism, then imputed accordingly. This supersedes the earlier document and is the definitive strategy for the full working dataset.</w:t>
      </w:r>
    </w:p>
    <w:p>
      <w:pPr>
        <w:spacing w:before="0" w:after="0"/>
      </w:pPr>
      <w:r>
        <w:t xml:space="preserve"/>
      </w:r>
    </w:p>
    <w:p>
      <w:pPr>
        <w:pStyle w:val="Heading2"/>
        <w:spacing w:before="280" w:after="120"/>
      </w:pPr>
      <w:r>
        <w:rPr>
          <w:rFonts w:ascii="Arial" w:cs="Arial" w:eastAsia="Arial" w:hAnsi="Arial"/>
          <w:b/>
          <w:bCs/>
          <w:color w:val="1565C0"/>
          <w:sz w:val="26"/>
          <w:szCs w:val="26"/>
        </w:rPr>
        <w:t xml:space="preserve">4.1  Step 1 — Classify Each Protein's Missingness Mechanism</w:t>
      </w:r>
    </w:p>
    <w:p>
      <w:pPr>
        <w:spacing w:before="60" w:after="100"/>
      </w:pPr>
      <w:r>
        <w:rPr>
          <w:rFonts w:ascii="Arial" w:cs="Arial" w:eastAsia="Arial" w:hAnsi="Arial"/>
          <w:b w:val="false"/>
          <w:bCs w:val="false"/>
          <w:i w:val="false"/>
          <w:iCs w:val="false"/>
          <w:color w:val="263238"/>
          <w:sz w:val="22"/>
          <w:szCs w:val="22"/>
        </w:rPr>
        <w:t xml:space="preserve">For every protein in the 1,765-protein working set, compute:</w:t>
      </w:r>
    </w:p>
    <w:p>
      <w:pPr>
        <w:pStyle w:val="ListParagraph"/>
        <w:numPr>
          <w:ilvl w:val="0"/>
          <w:numId w:val="3"/>
        </w:numPr>
        <w:spacing w:before="50" w:after="60"/>
      </w:pPr>
      <w:r>
        <w:rPr>
          <w:rFonts w:ascii="Arial" w:cs="Arial" w:eastAsia="Arial" w:hAnsi="Arial"/>
          <w:color w:val="263238"/>
          <w:sz w:val="22"/>
          <w:szCs w:val="22"/>
        </w:rPr>
        <w:t xml:space="preserve">Detection rate overall (all 30 samples)</w:t>
      </w:r>
    </w:p>
    <w:p>
      <w:pPr>
        <w:pStyle w:val="ListParagraph"/>
        <w:numPr>
          <w:ilvl w:val="0"/>
          <w:numId w:val="3"/>
        </w:numPr>
        <w:spacing w:before="50" w:after="60"/>
      </w:pPr>
      <w:r>
        <w:rPr>
          <w:rFonts w:ascii="Arial" w:cs="Arial" w:eastAsia="Arial" w:hAnsi="Arial"/>
          <w:color w:val="263238"/>
          <w:sz w:val="22"/>
          <w:szCs w:val="22"/>
        </w:rPr>
        <w:t xml:space="preserve">Fraction of detected values below the global 25th intensity percentile (frac_low)</w:t>
      </w:r>
    </w:p>
    <w:p>
      <w:pPr>
        <w:pStyle w:val="ListParagraph"/>
        <w:numPr>
          <w:ilvl w:val="0"/>
          <w:numId w:val="3"/>
        </w:numPr>
        <w:spacing w:before="50" w:after="60"/>
      </w:pPr>
      <w:r>
        <w:rPr>
          <w:rFonts w:ascii="Arial" w:cs="Arial" w:eastAsia="Arial" w:hAnsi="Arial"/>
          <w:color w:val="263238"/>
          <w:sz w:val="22"/>
          <w:szCs w:val="22"/>
        </w:rPr>
        <w:t xml:space="preserve">Fisher's exact test p-value for group-biased missingness (patients vs. controls)</w:t>
      </w:r>
    </w:p>
    <w:p>
      <w:pPr>
        <w:pStyle w:val="ListParagraph"/>
        <w:numPr>
          <w:ilvl w:val="0"/>
          <w:numId w:val="3"/>
        </w:numPr>
        <w:spacing w:before="50" w:after="60"/>
      </w:pPr>
      <w:r>
        <w:rPr>
          <w:rFonts w:ascii="Arial" w:cs="Arial" w:eastAsia="Arial" w:hAnsi="Arial"/>
          <w:color w:val="263238"/>
          <w:sz w:val="22"/>
          <w:szCs w:val="22"/>
        </w:rPr>
        <w:t xml:space="preserve">Per-sample: is the protein missing in the same samples where anchor QC scores are low? (degradation correlation)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Classification Rule</w:t>
            </w:r>
          </w:p>
        </w:tc>
        <w:tc>
          <w:tcPr>
            <w:tcW w:type="dxa" w:w="27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Missingness Type</w:t>
            </w:r>
          </w:p>
        </w:tc>
        <w:tc>
          <w:tcPr>
            <w:tcW w:type="dxa" w:w="3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Count (estimated)</w:t>
            </w:r>
          </w:p>
        </w:tc>
      </w:tr>
      <w:tr>
        <w:tc>
          <w:tcPr>
            <w:tcW w:type="dxa" w:w="36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Detection rate = 100%</w:t>
            </w:r>
          </w:p>
        </w:tc>
        <w:tc>
          <w:tcPr>
            <w:tcW w:type="dxa" w:w="27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No missing values — use as-is</w:t>
            </w:r>
          </w:p>
        </w:tc>
        <w:tc>
          <w:tcPr>
            <w:tcW w:type="dxa" w:w="3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80 proteins</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Detection 70–100%, frac_low &lt; 0.3</w:t>
            </w:r>
          </w:p>
        </w:tc>
        <w:tc>
          <w:tcPr>
            <w:tcW w:type="dxa" w:w="27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MCAR or MAR — random technical dropout</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~63 proteins</w:t>
            </w:r>
          </w:p>
        </w:tc>
      </w:tr>
      <w:tr>
        <w:tc>
          <w:tcPr>
            <w:tcW w:type="dxa" w:w="36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Detection 50–100%, frac_low &gt; 0.5</w:t>
            </w:r>
          </w:p>
        </w:tc>
        <w:tc>
          <w:tcPr>
            <w:tcW w:type="dxa" w:w="27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MNAR-LOD — below detection limit</w:t>
            </w:r>
          </w:p>
        </w:tc>
        <w:tc>
          <w:tcPr>
            <w:tcW w:type="dxa" w:w="3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~90 proteins</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Detection 30–80%, frac_low &lt; 0.2, missing NOT correlated with QC score</w:t>
            </w:r>
          </w:p>
        </w:tc>
        <w:tc>
          <w:tcPr>
            <w:tcW w:type="dxa" w:w="27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MNAR-DEG — pre-analytical degradation</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~150 proteins</w:t>
            </w:r>
          </w:p>
        </w:tc>
      </w:tr>
      <w:tr>
        <w:tc>
          <w:tcPr>
            <w:tcW w:type="dxa" w:w="36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Detection 30–80%, frac_low &lt; 0.2, group-biased missingness (Fisher p &lt; 0.05)</w:t>
            </w:r>
          </w:p>
        </w:tc>
        <w:tc>
          <w:tcPr>
            <w:tcW w:type="dxa" w:w="27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MNAR-BIO — true biological absence/presence</w:t>
            </w:r>
          </w:p>
        </w:tc>
        <w:tc>
          <w:tcPr>
            <w:tcW w:type="dxa" w:w="3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~50 proteins</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Detection 10–50%, frac_low any</w:t>
            </w:r>
          </w:p>
        </w:tc>
        <w:tc>
          <w:tcPr>
            <w:tcW w:type="dxa" w:w="27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Sparse — combination of above; use two-part model</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~1,330 proteins</w:t>
            </w:r>
          </w:p>
        </w:tc>
      </w:tr>
    </w:tbl>
    <w:p>
      <w:pPr>
        <w:spacing w:before="0" w:after="0"/>
      </w:pPr>
      <w:r>
        <w:t xml:space="preserve"/>
      </w:r>
    </w:p>
    <w:p>
      <w:pPr>
        <w:pStyle w:val="Heading2"/>
        <w:spacing w:before="280" w:after="120"/>
      </w:pPr>
      <w:r>
        <w:rPr>
          <w:rFonts w:ascii="Arial" w:cs="Arial" w:eastAsia="Arial" w:hAnsi="Arial"/>
          <w:b/>
          <w:bCs/>
          <w:color w:val="1565C0"/>
          <w:sz w:val="26"/>
          <w:szCs w:val="26"/>
        </w:rPr>
        <w:t xml:space="preserve">4.2  Step 2 — Apply Mechanism-Matched Imputation</w:t>
      </w:r>
    </w:p>
    <w:p>
      <w:pPr>
        <w:spacing w:before="0" w:after="0"/>
      </w:pPr>
      <w:r>
        <w:t xml:space="preserve"/>
      </w:r>
    </w:p>
    <w:p>
      <w:pPr>
        <w:pStyle w:val="Heading3"/>
        <w:spacing w:before="180" w:after="80"/>
      </w:pPr>
      <w:r>
        <w:rPr>
          <w:rFonts w:ascii="Arial" w:cs="Arial" w:eastAsia="Arial" w:hAnsi="Arial"/>
          <w:b/>
          <w:bCs/>
          <w:color w:val="00695C"/>
          <w:sz w:val="23"/>
          <w:szCs w:val="23"/>
        </w:rPr>
        <w:t xml:space="preserve">MCAR / MAR proteins: KNN Imputation</w:t>
      </w:r>
    </w:p>
    <w:p>
      <w:pPr>
        <w:spacing w:before="60" w:after="100"/>
      </w:pPr>
      <w:r>
        <w:rPr>
          <w:rFonts w:ascii="Arial" w:cs="Arial" w:eastAsia="Arial" w:hAnsi="Arial"/>
          <w:b w:val="false"/>
          <w:bCs w:val="false"/>
          <w:i w:val="false"/>
          <w:iCs w:val="false"/>
          <w:color w:val="263238"/>
          <w:sz w:val="22"/>
          <w:szCs w:val="22"/>
        </w:rPr>
        <w:t xml:space="preserve">For proteins with random dropout (detection 70–100%, frac_low &lt; 0.3), use K-Nearest Neighbor imputation with k = 5. The 'neighbors' are selected from proteins with high intra-pathway correlation — our data shows mean Spearman r = 0.52 within the complement pathway versus r = 0.37 for random protein pairs. This confirms pathway partners are valid imputation donors.</w:t>
      </w:r>
    </w:p>
    <w:p>
      <w:pPr>
        <w:pStyle w:val="ListParagraph"/>
        <w:numPr>
          <w:ilvl w:val="0"/>
          <w:numId w:val="2"/>
        </w:numPr>
        <w:spacing w:before="50" w:after="60"/>
      </w:pPr>
      <w:r>
        <w:rPr>
          <w:rFonts w:ascii="Arial" w:cs="Arial" w:eastAsia="Arial" w:hAnsi="Arial"/>
          <w:color w:val="263238"/>
          <w:sz w:val="22"/>
          <w:szCs w:val="22"/>
        </w:rPr>
        <w:t xml:space="preserve">Apply on log10-transformed values</w:t>
      </w:r>
    </w:p>
    <w:p>
      <w:pPr>
        <w:pStyle w:val="ListParagraph"/>
        <w:numPr>
          <w:ilvl w:val="0"/>
          <w:numId w:val="2"/>
        </w:numPr>
        <w:spacing w:before="50" w:after="60"/>
      </w:pPr>
      <w:r>
        <w:rPr>
          <w:rFonts w:ascii="Arial" w:cs="Arial" w:eastAsia="Arial" w:hAnsi="Arial"/>
          <w:color w:val="263238"/>
          <w:sz w:val="22"/>
          <w:szCs w:val="22"/>
        </w:rPr>
        <w:t xml:space="preserve">Use within-pathway neighbors preferentially — this preserves the pathway covariance structure that you need for downstream weighting</w:t>
      </w:r>
    </w:p>
    <w:p>
      <w:pPr>
        <w:pStyle w:val="ListParagraph"/>
        <w:numPr>
          <w:ilvl w:val="0"/>
          <w:numId w:val="2"/>
        </w:numPr>
        <w:spacing w:before="50" w:after="60"/>
      </w:pPr>
      <w:r>
        <w:rPr>
          <w:rFonts w:ascii="Arial" w:cs="Arial" w:eastAsia="Arial" w:hAnsi="Arial"/>
          <w:color w:val="263238"/>
          <w:sz w:val="22"/>
          <w:szCs w:val="22"/>
        </w:rPr>
        <w:t xml:space="preserve">Fallback: if fewer than 3 pathway partners available, use the 5 globally most correlated proteins</w:t>
      </w:r>
    </w:p>
    <w:p>
      <w:pPr>
        <w:spacing w:before="0" w:after="0"/>
      </w:pPr>
      <w:r>
        <w:t xml:space="preserve"/>
      </w:r>
    </w:p>
    <w:p>
      <w:pPr>
        <w:pStyle w:val="Heading3"/>
        <w:spacing w:before="180" w:after="80"/>
      </w:pPr>
      <w:r>
        <w:rPr>
          <w:rFonts w:ascii="Arial" w:cs="Arial" w:eastAsia="Arial" w:hAnsi="Arial"/>
          <w:b/>
          <w:bCs/>
          <w:color w:val="BF360C"/>
          <w:sz w:val="23"/>
          <w:szCs w:val="23"/>
        </w:rPr>
        <w:t xml:space="preserve">MNAR-LOD proteins: LOD / sqrt(2) — Per Protein, Group-Aware</w:t>
      </w:r>
    </w:p>
    <w:p>
      <w:pPr>
        <w:spacing w:before="60" w:after="100"/>
      </w:pPr>
      <w:r>
        <w:rPr>
          <w:rFonts w:ascii="Arial" w:cs="Arial" w:eastAsia="Arial" w:hAnsi="Arial"/>
          <w:b w:val="false"/>
          <w:bCs w:val="false"/>
          <w:i w:val="false"/>
          <w:iCs w:val="false"/>
          <w:color w:val="263238"/>
          <w:sz w:val="22"/>
          <w:szCs w:val="22"/>
        </w:rPr>
        <w:t xml:space="preserve">For proteins where detection is driven by abundance (frac_low &gt; 0.5):</w:t>
      </w:r>
    </w:p>
    <w:p>
      <w:pPr>
        <w:pStyle w:val="ListParagraph"/>
        <w:numPr>
          <w:ilvl w:val="0"/>
          <w:numId w:val="2"/>
        </w:numPr>
        <w:spacing w:before="50" w:after="60"/>
      </w:pPr>
      <w:r>
        <w:rPr>
          <w:rFonts w:ascii="Arial" w:cs="Arial" w:eastAsia="Arial" w:hAnsi="Arial"/>
          <w:color w:val="263238"/>
          <w:sz w:val="22"/>
          <w:szCs w:val="22"/>
        </w:rPr>
        <w:t xml:space="preserve">Compute LOD separately per group: LOD_patient = min(detected values in patients), LOD_control = min(detected values in controls)</w:t>
      </w:r>
    </w:p>
    <w:p>
      <w:pPr>
        <w:pStyle w:val="ListParagraph"/>
        <w:numPr>
          <w:ilvl w:val="0"/>
          <w:numId w:val="2"/>
        </w:numPr>
        <w:spacing w:before="50" w:after="60"/>
      </w:pPr>
      <w:r>
        <w:rPr>
          <w:rFonts w:ascii="Arial" w:cs="Arial" w:eastAsia="Arial" w:hAnsi="Arial"/>
          <w:color w:val="263238"/>
          <w:sz w:val="22"/>
          <w:szCs w:val="22"/>
        </w:rPr>
        <w:t xml:space="preserve">Impute missing patients with LOD_patient / sqrt(2); impute missing controls with LOD_control / sqrt(2)</w:t>
      </w:r>
    </w:p>
    <w:p>
      <w:pPr>
        <w:pStyle w:val="ListParagraph"/>
        <w:numPr>
          <w:ilvl w:val="0"/>
          <w:numId w:val="2"/>
        </w:numPr>
        <w:spacing w:before="50" w:after="60"/>
      </w:pPr>
      <w:r>
        <w:rPr>
          <w:rFonts w:ascii="Arial" w:cs="Arial" w:eastAsia="Arial" w:hAnsi="Arial"/>
          <w:color w:val="263238"/>
          <w:sz w:val="22"/>
          <w:szCs w:val="22"/>
        </w:rPr>
        <w:t xml:space="preserve">Rationale: group-aware LOD prevents artificially inflating controls to patient-level values when the protein is genuinely more detectable in patients</w:t>
      </w:r>
    </w:p>
    <w:p>
      <w:pPr>
        <w:pStyle w:val="ListParagraph"/>
        <w:numPr>
          <w:ilvl w:val="0"/>
          <w:numId w:val="2"/>
        </w:numPr>
        <w:spacing w:before="50" w:after="60"/>
      </w:pPr>
      <w:r>
        <w:rPr>
          <w:rFonts w:ascii="Arial" w:cs="Arial" w:eastAsia="Arial" w:hAnsi="Arial"/>
          <w:color w:val="263238"/>
          <w:sz w:val="22"/>
          <w:szCs w:val="22"/>
        </w:rPr>
        <w:t xml:space="preserve">Example — CRP: 12/20 patients detected vs. 3/10 controls. Group-aware LOD assigns different floor values, preserving the real biological elevation in AD.</w:t>
      </w:r>
    </w:p>
    <w:p>
      <w:pPr>
        <w:spacing w:before="0" w:after="0"/>
      </w:pPr>
      <w:r>
        <w:t xml:space="preserve"/>
      </w:r>
    </w:p>
    <w:p>
      <w:pPr>
        <w:pStyle w:val="Heading3"/>
        <w:spacing w:before="180" w:after="80"/>
      </w:pPr>
      <w:r>
        <w:rPr>
          <w:rFonts w:ascii="Arial" w:cs="Arial" w:eastAsia="Arial" w:hAnsi="Arial"/>
          <w:b/>
          <w:bCs/>
          <w:color w:val="BF360C"/>
          <w:sz w:val="23"/>
          <w:szCs w:val="23"/>
        </w:rPr>
        <w:t xml:space="preserve">MNAR-DEG proteins: Median Imputation within QC-Tier</w:t>
      </w:r>
    </w:p>
    <w:p>
      <w:pPr>
        <w:spacing w:before="60" w:after="100"/>
      </w:pPr>
      <w:r>
        <w:rPr>
          <w:rFonts w:ascii="Arial" w:cs="Arial" w:eastAsia="Arial" w:hAnsi="Arial"/>
          <w:b w:val="false"/>
          <w:bCs w:val="false"/>
          <w:i w:val="false"/>
          <w:iCs w:val="false"/>
          <w:color w:val="263238"/>
          <w:sz w:val="22"/>
          <w:szCs w:val="22"/>
        </w:rPr>
        <w:t xml:space="preserve">This is the new step introduced by the degradation concern. For proteins where the detected values are mid-to-high range but some samples have missing values due to RT degradation:</w:t>
      </w:r>
    </w:p>
    <w:p>
      <w:pPr>
        <w:pStyle w:val="ListParagraph"/>
        <w:numPr>
          <w:ilvl w:val="0"/>
          <w:numId w:val="2"/>
        </w:numPr>
        <w:spacing w:before="50" w:after="60"/>
      </w:pPr>
      <w:r>
        <w:rPr>
          <w:rFonts w:ascii="Arial" w:cs="Arial" w:eastAsia="Arial" w:hAnsi="Arial"/>
          <w:color w:val="263238"/>
          <w:sz w:val="22"/>
          <w:szCs w:val="22"/>
        </w:rPr>
        <w:t xml:space="preserve">Do NOT use LOD/sqrt(2) — this would assign near-zero values to a protein that was at normal levels</w:t>
      </w:r>
    </w:p>
    <w:p>
      <w:pPr>
        <w:pStyle w:val="ListParagraph"/>
        <w:numPr>
          <w:ilvl w:val="0"/>
          <w:numId w:val="2"/>
        </w:numPr>
        <w:spacing w:before="50" w:after="60"/>
      </w:pPr>
      <w:r>
        <w:rPr>
          <w:rFonts w:ascii="Arial" w:cs="Arial" w:eastAsia="Arial" w:hAnsi="Arial"/>
          <w:color w:val="263238"/>
          <w:sz w:val="22"/>
          <w:szCs w:val="22"/>
        </w:rPr>
        <w:t xml:space="preserve">Do NOT use global mean — this ignores the possibility that some samples are degraded</w:t>
      </w:r>
    </w:p>
    <w:p>
      <w:pPr>
        <w:pStyle w:val="ListParagraph"/>
        <w:numPr>
          <w:ilvl w:val="0"/>
          <w:numId w:val="2"/>
        </w:numPr>
        <w:spacing w:before="50" w:after="60"/>
      </w:pPr>
      <w:r>
        <w:rPr>
          <w:rFonts w:ascii="Arial" w:cs="Arial" w:eastAsia="Arial" w:hAnsi="Arial"/>
          <w:color w:val="263238"/>
          <w:sz w:val="22"/>
          <w:szCs w:val="22"/>
        </w:rPr>
        <w:t xml:space="preserve">Correct approach: stratify samples by QC score into 'high quality' (QC &gt; -1.0) and 'flagged' (QC &lt; -1.0). Compute the median of the protein across high-quality samples. Impute all missing values with this median, but add a 'degradation_imputed' flag column.</w:t>
      </w:r>
    </w:p>
    <w:p>
      <w:pPr>
        <w:pStyle w:val="ListParagraph"/>
        <w:numPr>
          <w:ilvl w:val="0"/>
          <w:numId w:val="2"/>
        </w:numPr>
        <w:spacing w:before="50" w:after="60"/>
      </w:pPr>
      <w:r>
        <w:rPr>
          <w:rFonts w:ascii="Arial" w:cs="Arial" w:eastAsia="Arial" w:hAnsi="Arial"/>
          <w:color w:val="263238"/>
          <w:sz w:val="22"/>
          <w:szCs w:val="22"/>
        </w:rPr>
        <w:t xml:space="preserve">For downstream pathway analysis: degradation-imputed values should receive a reduced weight (multiply by 0.7) compared to observed values, reflecting the uncertainty in the imputed estimate.</w:t>
      </w:r>
    </w:p>
    <w:p>
      <w:pPr>
        <w:pStyle w:val="ListParagraph"/>
        <w:numPr>
          <w:ilvl w:val="0"/>
          <w:numId w:val="2"/>
        </w:numPr>
        <w:spacing w:before="50" w:after="60"/>
      </w:pPr>
      <w:r>
        <w:rPr>
          <w:rFonts w:ascii="Arial" w:cs="Arial" w:eastAsia="Arial" w:hAnsi="Arial"/>
          <w:color w:val="263238"/>
          <w:sz w:val="22"/>
          <w:szCs w:val="22"/>
        </w:rPr>
        <w:t xml:space="preserve">Key proteins affected: Ceruloplasmin, Angiotensinogen, ATIII-T1, Coagulation factor XI — all show the mid-range intensity + random missingness pattern of MNAR-DEG.</w:t>
      </w:r>
    </w:p>
    <w:p>
      <w:pPr>
        <w:spacing w:before="0" w:after="0"/>
      </w:pPr>
      <w:r>
        <w:t xml:space="preserve"/>
      </w:r>
    </w:p>
    <w:p>
      <w:pPr>
        <w:pStyle w:val="Heading3"/>
        <w:spacing w:before="180" w:after="80"/>
      </w:pPr>
      <w:r>
        <w:rPr>
          <w:rFonts w:ascii="Arial" w:cs="Arial" w:eastAsia="Arial" w:hAnsi="Arial"/>
          <w:b/>
          <w:bCs/>
          <w:color w:val="4A148C"/>
          <w:sz w:val="23"/>
          <w:szCs w:val="23"/>
        </w:rPr>
        <w:t xml:space="preserve">MNAR-BIO proteins: Binary Indicator (Do NOT Impute)</w:t>
      </w:r>
    </w:p>
    <w:p>
      <w:pPr>
        <w:spacing w:before="60" w:after="100"/>
      </w:pPr>
      <w:r>
        <w:rPr>
          <w:rFonts w:ascii="Arial" w:cs="Arial" w:eastAsia="Arial" w:hAnsi="Arial"/>
          <w:b w:val="false"/>
          <w:bCs w:val="false"/>
          <w:i w:val="false"/>
          <w:iCs w:val="false"/>
          <w:color w:val="263238"/>
          <w:sz w:val="22"/>
          <w:szCs w:val="22"/>
        </w:rPr>
        <w:t xml:space="preserve">For proteins with group-biased missingness where the detected values are not low (Fisher p &lt; 0.05, frac_low &lt; 0.3):</w:t>
      </w:r>
    </w:p>
    <w:p>
      <w:pPr>
        <w:pStyle w:val="ListParagraph"/>
        <w:numPr>
          <w:ilvl w:val="0"/>
          <w:numId w:val="2"/>
        </w:numPr>
        <w:spacing w:before="50" w:after="60"/>
      </w:pPr>
      <w:r>
        <w:rPr>
          <w:rFonts w:ascii="Arial" w:cs="Arial" w:eastAsia="Arial" w:hAnsi="Arial"/>
          <w:color w:val="263238"/>
          <w:sz w:val="22"/>
          <w:szCs w:val="22"/>
        </w:rPr>
        <w:t xml:space="preserve">These proteins are genuinely present in one group and absent in the other — imputing would fabricate biology</w:t>
      </w:r>
    </w:p>
    <w:p>
      <w:pPr>
        <w:pStyle w:val="ListParagraph"/>
        <w:numPr>
          <w:ilvl w:val="0"/>
          <w:numId w:val="2"/>
        </w:numPr>
        <w:spacing w:before="50" w:after="60"/>
      </w:pPr>
      <w:r>
        <w:rPr>
          <w:rFonts w:ascii="Arial" w:cs="Arial" w:eastAsia="Arial" w:hAnsi="Arial"/>
          <w:color w:val="263238"/>
          <w:sz w:val="22"/>
          <w:szCs w:val="22"/>
        </w:rPr>
        <w:t xml:space="preserve">Represent as: detected_value for observed samples; 0 (or NaN with a binary flag column = 0) for absent samples</w:t>
      </w:r>
    </w:p>
    <w:p>
      <w:pPr>
        <w:pStyle w:val="ListParagraph"/>
        <w:numPr>
          <w:ilvl w:val="0"/>
          <w:numId w:val="2"/>
        </w:numPr>
        <w:spacing w:before="50" w:after="60"/>
      </w:pPr>
      <w:r>
        <w:rPr>
          <w:rFonts w:ascii="Arial" w:cs="Arial" w:eastAsia="Arial" w:hAnsi="Arial"/>
          <w:color w:val="263238"/>
          <w:sz w:val="22"/>
          <w:szCs w:val="22"/>
        </w:rPr>
        <w:t xml:space="preserve">In pathway scoring: use the binary flag as a component of the pathway activation score, not the imputed abundance</w:t>
      </w:r>
    </w:p>
    <w:p>
      <w:pPr>
        <w:pStyle w:val="ListParagraph"/>
        <w:numPr>
          <w:ilvl w:val="0"/>
          <w:numId w:val="2"/>
        </w:numPr>
        <w:spacing w:before="50" w:after="60"/>
      </w:pPr>
      <w:r>
        <w:rPr>
          <w:rFonts w:ascii="Arial" w:cs="Arial" w:eastAsia="Arial" w:hAnsi="Arial"/>
          <w:color w:val="263238"/>
          <w:sz w:val="22"/>
          <w:szCs w:val="22"/>
        </w:rPr>
        <w:t xml:space="preserve">Examples: Ceruloplasmin (patient-specific), Serum Amyloid A (patient-specific), Thyroxine-binding globulin (control-enriched)</w:t>
      </w:r>
    </w:p>
    <w:p>
      <w:pPr>
        <w:spacing w:before="0" w:after="0"/>
      </w:pPr>
      <w:r>
        <w:t xml:space="preserve"/>
      </w:r>
    </w:p>
    <w:p>
      <w:pPr>
        <w:pStyle w:val="Heading3"/>
        <w:spacing w:before="180" w:after="80"/>
      </w:pPr>
      <w:r>
        <w:rPr>
          <w:rFonts w:ascii="Arial" w:cs="Arial" w:eastAsia="Arial" w:hAnsi="Arial"/>
          <w:b/>
          <w:bCs/>
          <w:color w:val="00695C"/>
          <w:sz w:val="23"/>
          <w:szCs w:val="23"/>
        </w:rPr>
        <w:t xml:space="preserve">Sparse proteins (10–50%): Degradation-Stratified Two-Part Model</w:t>
      </w:r>
    </w:p>
    <w:p>
      <w:pPr>
        <w:spacing w:before="60" w:after="100"/>
      </w:pPr>
      <w:r>
        <w:rPr>
          <w:rFonts w:ascii="Arial" w:cs="Arial" w:eastAsia="Arial" w:hAnsi="Arial"/>
          <w:b w:val="false"/>
          <w:bCs w:val="false"/>
          <w:i w:val="false"/>
          <w:iCs w:val="false"/>
          <w:color w:val="263238"/>
          <w:sz w:val="22"/>
          <w:szCs w:val="22"/>
        </w:rPr>
        <w:t xml:space="preserve">For the 1,330 sparse proteins, degradation adds an important nuance to the two-part model: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Without Degradation Concern</w:t>
            </w:r>
          </w:p>
        </w:tc>
        <w:tc>
          <w:tcPr>
            <w:tcW w:type="dxa" w:w="43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With Degradation Concern</w:t>
            </w:r>
          </w:p>
        </w:tc>
      </w:tr>
      <w:tr>
        <w:tc>
          <w:tcPr>
            <w:tcW w:type="dxa" w:w="2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Binary indicator</w:t>
            </w:r>
          </w:p>
        </w:tc>
        <w:tc>
          <w:tcPr>
            <w:tcW w:type="dxa" w:w="3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1 = detected, 0 = not detected</w:t>
            </w:r>
          </w:p>
        </w:tc>
        <w:tc>
          <w:tcPr>
            <w:tcW w:type="dxa" w:w="43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1 = detected, 0 = not detected, -1 = 'unknown' (missing in degradation-flagged sample P4)</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Quantitative value</w:t>
            </w:r>
          </w:p>
        </w:tc>
        <w:tc>
          <w:tcPr>
            <w:tcW w:type="dxa" w:w="3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LOD/sqrt(2) for all missing</w:t>
            </w:r>
          </w:p>
        </w:tc>
        <w:tc>
          <w:tcPr>
            <w:tcW w:type="dxa" w:w="43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LOD/sqrt(2) for MNAR-LOD; group median × 0.7 for MNAR-DEG; 0 for MNAR-BIO</w:t>
            </w:r>
          </w:p>
        </w:tc>
      </w:tr>
      <w:tr>
        <w:tc>
          <w:tcPr>
            <w:tcW w:type="dxa" w:w="2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Pathway weight</w:t>
            </w:r>
          </w:p>
        </w:tc>
        <w:tc>
          <w:tcPr>
            <w:tcW w:type="dxa" w:w="3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w = detection_rate^0.5</w:t>
            </w:r>
          </w:p>
        </w:tc>
        <w:tc>
          <w:tcPr>
            <w:tcW w:type="dxa" w:w="43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w = detection_rate^0.5 × degradation_reliability (0.7 for DEG proteins, 1.0 for others)</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5.  Impact on Pathway-Weighted Dimensionality Reduction</w:t>
      </w:r>
    </w:p>
    <w:p>
      <w:pPr>
        <w:pStyle w:val="Heading2"/>
        <w:spacing w:before="280" w:after="120"/>
      </w:pPr>
      <w:r>
        <w:rPr>
          <w:rFonts w:ascii="Arial" w:cs="Arial" w:eastAsia="Arial" w:hAnsi="Arial"/>
          <w:b/>
          <w:bCs/>
          <w:color w:val="1565C0"/>
          <w:sz w:val="26"/>
          <w:szCs w:val="26"/>
        </w:rPr>
        <w:t xml:space="preserve">5.1  What Changes vs. the Previous Strategy</w:t>
      </w:r>
    </w:p>
    <w:p>
      <w:pPr>
        <w:spacing w:before="60" w:after="100"/>
      </w:pPr>
      <w:r>
        <w:rPr>
          <w:rFonts w:ascii="Arial" w:cs="Arial" w:eastAsia="Arial" w:hAnsi="Arial"/>
          <w:b w:val="false"/>
          <w:bCs w:val="false"/>
          <w:i w:val="false"/>
          <w:iCs w:val="false"/>
          <w:color w:val="263238"/>
          <w:sz w:val="22"/>
          <w:szCs w:val="22"/>
        </w:rPr>
        <w:t xml:space="preserve">The degradation-aware strategy changes three things in the pathway weighting pipeline: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4280"/>
      </w:tblGrid>
      <w:tr>
        <w:trPr>
          <w:tblHeader/>
        </w:trPr>
        <w:tc>
          <w:tcPr>
            <w:tcW w:type="dxa" w:w="20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Pipeline Step</w:t>
            </w:r>
          </w:p>
        </w:tc>
        <w:tc>
          <w:tcPr>
            <w:tcW w:type="dxa" w:w="308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Previous (no degradation concern)</w:t>
            </w:r>
          </w:p>
        </w:tc>
        <w:tc>
          <w:tcPr>
            <w:tcW w:type="dxa" w:w="428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Revised (degradation-aware)</w:t>
            </w:r>
          </w:p>
        </w:tc>
      </w:tr>
      <w:tr>
        <w:tc>
          <w:tcPr>
            <w:tcW w:type="dxa" w:w="2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Protein classification</w:t>
            </w:r>
          </w:p>
        </w:tc>
        <w:tc>
          <w:tcPr>
            <w:tcW w:type="dxa" w:w="308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5 tiers by detection rate only</w:t>
            </w:r>
          </w:p>
        </w:tc>
        <w:tc>
          <w:tcPr>
            <w:tcW w:type="dxa" w:w="428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4-type mechanism classification (MNAR-LOD, MNAR-DEG, MCAR, MNAR-BIO) within each detection tier</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Imputation of labile proteins</w:t>
            </w:r>
          </w:p>
        </w:tc>
        <w:tc>
          <w:tcPr>
            <w:tcW w:type="dxa" w:w="308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LOD/sqrt(2) for all Tier 3 (50-70%) proteins</w:t>
            </w:r>
          </w:p>
        </w:tc>
        <w:tc>
          <w:tcPr>
            <w:tcW w:type="dxa" w:w="428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MNAR-DEG proteins get group-median imputation; LOD/sqrt(2) only for confirmed MNAR-LOD</w:t>
            </w:r>
          </w:p>
        </w:tc>
      </w:tr>
      <w:tr>
        <w:tc>
          <w:tcPr>
            <w:tcW w:type="dxa" w:w="2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Protein weights (w1)</w:t>
            </w:r>
          </w:p>
        </w:tc>
        <w:tc>
          <w:tcPr>
            <w:tcW w:type="dxa" w:w="308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w1 = detection_rate^0.5 for all proteins</w:t>
            </w:r>
          </w:p>
        </w:tc>
        <w:tc>
          <w:tcPr>
            <w:tcW w:type="dxa" w:w="428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w1 = detection_rate^0.5 × reliability_factor; MNAR-DEG proteins get reliability_factor = 0.7</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Sample weights</w:t>
            </w:r>
          </w:p>
        </w:tc>
        <w:tc>
          <w:tcPr>
            <w:tcW w:type="dxa" w:w="308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All samples treated equally</w:t>
            </w:r>
          </w:p>
        </w:tc>
        <w:tc>
          <w:tcPr>
            <w:tcW w:type="dxa" w:w="428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Sample P4 (QC = -1.32) receives a down-weight of 0.7 in pathway score aggregation</w:t>
            </w:r>
          </w:p>
        </w:tc>
      </w:tr>
      <w:tr>
        <w:tc>
          <w:tcPr>
            <w:tcW w:type="dxa" w:w="20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Feature matrix</w:t>
            </w:r>
          </w:p>
        </w:tc>
        <w:tc>
          <w:tcPr>
            <w:tcW w:type="dxa" w:w="308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Quantitative + binary flags</w:t>
            </w:r>
          </w:p>
        </w:tc>
        <w:tc>
          <w:tcPr>
            <w:tcW w:type="dxa" w:w="428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Quantitative + binary flags + degradation_imputed flag columns for MNAR-DEG proteins</w:t>
            </w:r>
          </w:p>
        </w:tc>
      </w:tr>
    </w:tbl>
    <w:p>
      <w:pPr>
        <w:spacing w:before="0" w:after="0"/>
      </w:pPr>
      <w:r>
        <w:t xml:space="preserve"/>
      </w:r>
    </w:p>
    <w:p>
      <w:pPr>
        <w:pStyle w:val="Heading2"/>
        <w:spacing w:before="280" w:after="120"/>
      </w:pPr>
      <w:r>
        <w:rPr>
          <w:rFonts w:ascii="Arial" w:cs="Arial" w:eastAsia="Arial" w:hAnsi="Arial"/>
          <w:b/>
          <w:bCs/>
          <w:color w:val="1565C0"/>
          <w:sz w:val="26"/>
          <w:szCs w:val="26"/>
        </w:rPr>
        <w:t xml:space="preserve">5.2  Revised Implementation Order</w:t>
      </w:r>
    </w:p>
    <w:p>
      <w:pPr>
        <w:pStyle w:val="ListParagraph"/>
        <w:numPr>
          <w:ilvl w:val="0"/>
          <w:numId w:val="3"/>
        </w:numPr>
        <w:spacing w:before="50" w:after="60"/>
      </w:pPr>
      <w:r>
        <w:rPr>
          <w:rFonts w:ascii="Arial" w:cs="Arial" w:eastAsia="Arial" w:hAnsi="Arial"/>
          <w:color w:val="263238"/>
          <w:sz w:val="22"/>
          <w:szCs w:val="22"/>
        </w:rPr>
        <w:t xml:space="preserve">Load 1,765-protein dataset; apply log10 transform to all positive values</w:t>
      </w:r>
    </w:p>
    <w:p>
      <w:pPr>
        <w:pStyle w:val="ListParagraph"/>
        <w:numPr>
          <w:ilvl w:val="0"/>
          <w:numId w:val="3"/>
        </w:numPr>
        <w:spacing w:before="50" w:after="60"/>
      </w:pPr>
      <w:r>
        <w:rPr>
          <w:rFonts w:ascii="Arial" w:cs="Arial" w:eastAsia="Arial" w:hAnsi="Arial"/>
          <w:color w:val="263238"/>
          <w:sz w:val="22"/>
          <w:szCs w:val="22"/>
        </w:rPr>
        <w:t xml:space="preserve">Compute per-protein detection rates, frac_low scores, and Fisher group-bias tests</w:t>
      </w:r>
    </w:p>
    <w:p>
      <w:pPr>
        <w:pStyle w:val="ListParagraph"/>
        <w:numPr>
          <w:ilvl w:val="0"/>
          <w:numId w:val="3"/>
        </w:numPr>
        <w:spacing w:before="50" w:after="60"/>
      </w:pPr>
      <w:r>
        <w:rPr>
          <w:rFonts w:ascii="Arial" w:cs="Arial" w:eastAsia="Arial" w:hAnsi="Arial"/>
          <w:color w:val="263238"/>
          <w:sz w:val="22"/>
          <w:szCs w:val="22"/>
        </w:rPr>
        <w:t xml:space="preserve">Classify each protein into MNAR-LOD / MNAR-DEG / MCAR / MNAR-BIO (Section 4.1 rules)</w:t>
      </w:r>
    </w:p>
    <w:p>
      <w:pPr>
        <w:pStyle w:val="ListParagraph"/>
        <w:numPr>
          <w:ilvl w:val="0"/>
          <w:numId w:val="3"/>
        </w:numPr>
        <w:spacing w:before="50" w:after="60"/>
      </w:pPr>
      <w:r>
        <w:rPr>
          <w:rFonts w:ascii="Arial" w:cs="Arial" w:eastAsia="Arial" w:hAnsi="Arial"/>
          <w:color w:val="263238"/>
          <w:sz w:val="22"/>
          <w:szCs w:val="22"/>
        </w:rPr>
        <w:t xml:space="preserve">Compute per-sample QC scores using 5–6 anchor proteins; flag samples with QC &lt; -1.5</w:t>
      </w:r>
    </w:p>
    <w:p>
      <w:pPr>
        <w:pStyle w:val="ListParagraph"/>
        <w:numPr>
          <w:ilvl w:val="0"/>
          <w:numId w:val="3"/>
        </w:numPr>
        <w:spacing w:before="50" w:after="60"/>
      </w:pPr>
      <w:r>
        <w:rPr>
          <w:rFonts w:ascii="Arial" w:cs="Arial" w:eastAsia="Arial" w:hAnsi="Arial"/>
          <w:color w:val="263238"/>
          <w:sz w:val="22"/>
          <w:szCs w:val="22"/>
        </w:rPr>
        <w:t xml:space="preserve">Apply mechanism-matched imputation: KNN for MCAR, group-aware LOD/sqrt(2) for MNAR-LOD, group-median×0.7 for MNAR-DEG, binary-only for MNAR-BIO</w:t>
      </w:r>
    </w:p>
    <w:p>
      <w:pPr>
        <w:pStyle w:val="ListParagraph"/>
        <w:numPr>
          <w:ilvl w:val="0"/>
          <w:numId w:val="3"/>
        </w:numPr>
        <w:spacing w:before="50" w:after="60"/>
      </w:pPr>
      <w:r>
        <w:rPr>
          <w:rFonts w:ascii="Arial" w:cs="Arial" w:eastAsia="Arial" w:hAnsi="Arial"/>
          <w:color w:val="263238"/>
          <w:sz w:val="22"/>
          <w:szCs w:val="22"/>
        </w:rPr>
        <w:t xml:space="preserve">For sparse proteins (10–50%): create binary indicator matrix + degradation-stratified quantitative matrix</w:t>
      </w:r>
    </w:p>
    <w:p>
      <w:pPr>
        <w:pStyle w:val="ListParagraph"/>
        <w:numPr>
          <w:ilvl w:val="0"/>
          <w:numId w:val="3"/>
        </w:numPr>
        <w:spacing w:before="50" w:after="60"/>
      </w:pPr>
      <w:r>
        <w:rPr>
          <w:rFonts w:ascii="Arial" w:cs="Arial" w:eastAsia="Arial" w:hAnsi="Arial"/>
          <w:color w:val="263238"/>
          <w:sz w:val="22"/>
          <w:szCs w:val="22"/>
        </w:rPr>
        <w:t xml:space="preserve">Map all 1,765 proteins to Reactome/KEGG pathways; note which proteins in each pathway are MNAR-DEG (these reduce pathway weight reliability)</w:t>
      </w:r>
    </w:p>
    <w:p>
      <w:pPr>
        <w:pStyle w:val="ListParagraph"/>
        <w:numPr>
          <w:ilvl w:val="0"/>
          <w:numId w:val="3"/>
        </w:numPr>
        <w:spacing w:before="50" w:after="60"/>
      </w:pPr>
      <w:r>
        <w:rPr>
          <w:rFonts w:ascii="Arial" w:cs="Arial" w:eastAsia="Arial" w:hAnsi="Arial"/>
          <w:color w:val="263238"/>
          <w:sz w:val="22"/>
          <w:szCs w:val="22"/>
        </w:rPr>
        <w:t xml:space="preserve">Compute protein weights: w_final = w1 (detection × reliability) × w2 (pathway specificity) × w3 (differential signal)</w:t>
      </w:r>
    </w:p>
    <w:p>
      <w:pPr>
        <w:pStyle w:val="ListParagraph"/>
        <w:numPr>
          <w:ilvl w:val="0"/>
          <w:numId w:val="3"/>
        </w:numPr>
        <w:spacing w:before="50" w:after="60"/>
      </w:pPr>
      <w:r>
        <w:rPr>
          <w:rFonts w:ascii="Arial" w:cs="Arial" w:eastAsia="Arial" w:hAnsi="Arial"/>
          <w:color w:val="263238"/>
          <w:sz w:val="22"/>
          <w:szCs w:val="22"/>
        </w:rPr>
        <w:t xml:space="preserve">Compute per-sample pathway activity scores; apply sample QC down-weighting where flagged</w:t>
      </w:r>
    </w:p>
    <w:p>
      <w:pPr>
        <w:pStyle w:val="ListParagraph"/>
        <w:numPr>
          <w:ilvl w:val="0"/>
          <w:numId w:val="3"/>
        </w:numPr>
        <w:spacing w:before="50" w:after="60"/>
      </w:pPr>
      <w:r>
        <w:rPr>
          <w:rFonts w:ascii="Arial" w:cs="Arial" w:eastAsia="Arial" w:hAnsi="Arial"/>
          <w:color w:val="263238"/>
          <w:sz w:val="22"/>
          <w:szCs w:val="22"/>
        </w:rPr>
        <w:t xml:space="preserve">Input pathway score matrix into UMAP and PCA; validate separation and bootstrap stability</w:t>
      </w:r>
    </w:p>
    <w:p>
      <w:pPr>
        <w:spacing w:before="0" w:after="0"/>
      </w:pPr>
      <w:r>
        <w:t xml:space="preserve"/>
      </w:r>
    </w:p>
    <w:p>
      <w:pPr>
        <w:pStyle w:val="Heading2"/>
        <w:spacing w:before="280" w:after="120"/>
      </w:pPr>
      <w:r>
        <w:rPr>
          <w:rFonts w:ascii="Arial" w:cs="Arial" w:eastAsia="Arial" w:hAnsi="Arial"/>
          <w:b/>
          <w:bCs/>
          <w:color w:val="1565C0"/>
          <w:sz w:val="26"/>
          <w:szCs w:val="26"/>
        </w:rPr>
        <w:t xml:space="preserve">5.3  One Concrete Example — Complement Pathway Under Degradation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2"/>
              <w:left w:val="single" w:color="1565C0" w:sz="28"/>
              <w:bottom w:val="single" w:color="1565C0" w:sz="4"/>
              <w:right w:val="none" w:color="FFFFFF" w:sz="0"/>
            </w:tcBorders>
            <w:shd w:fill="E3F2FD" w:val="clear"/>
            <w:tcMar>
              <w:top w:type="dxa" w:w="140"/>
              <w:left w:type="dxa" w:w="220"/>
              <w:bottom w:type="dxa" w:w="140"/>
              <w:right w:type="dxa" w:w="180"/>
            </w:tcMar>
          </w:tcPr>
          <w:p>
            <w:pPr>
              <w:spacing w:before="0" w:after="80"/>
            </w:pPr>
            <w:r>
              <w:rPr>
                <w:rFonts w:ascii="Arial" w:cs="Arial" w:eastAsia="Arial" w:hAnsi="Arial"/>
                <w:b/>
                <w:bCs/>
                <w:color w:val="1565C0"/>
                <w:sz w:val="22"/>
                <w:szCs w:val="22"/>
              </w:rPr>
              <w:t xml:space="preserve">WORKED EXAMPLE  Complement Pathway Score for Sample P4 (flagged, QC = -1.32)</w:t>
            </w:r>
          </w:p>
          <w:p>
            <w:pPr>
              <w:spacing w:before="0" w:after="40"/>
            </w:pPr>
            <w:r>
              <w:rPr>
                <w:rFonts w:ascii="Arial" w:cs="Arial" w:eastAsia="Arial" w:hAnsi="Arial"/>
                <w:color w:val="263238"/>
                <w:sz w:val="21"/>
                <w:szCs w:val="21"/>
              </w:rPr>
              <w:t xml:space="preserve">The complement pathway has 45 proteins detected at ≥10% rate in the 1,765-protein set.</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C1q B chain (MCAR, 100% det.): observed value log10 = 5.21 → w1 = 1.0 × 1.0 = 1.0</w:t>
            </w:r>
          </w:p>
          <w:p>
            <w:pPr>
              <w:spacing w:before="0" w:after="40"/>
            </w:pPr>
            <w:r>
              <w:rPr>
                <w:rFonts w:ascii="Arial" w:cs="Arial" w:eastAsia="Arial" w:hAnsi="Arial"/>
                <w:color w:val="263238"/>
                <w:sz w:val="21"/>
                <w:szCs w:val="21"/>
              </w:rPr>
              <w:t xml:space="preserve">C4-B (MNAR-LOD, 100% det.): observed value log10 = 4.87 → w1 = 1.0 × 1.0 = 1.0</w:t>
            </w:r>
          </w:p>
          <w:p>
            <w:pPr>
              <w:spacing w:before="0" w:after="40"/>
            </w:pPr>
            <w:r>
              <w:rPr>
                <w:rFonts w:ascii="Arial" w:cs="Arial" w:eastAsia="Arial" w:hAnsi="Arial"/>
                <w:color w:val="263238"/>
                <w:sz w:val="21"/>
                <w:szCs w:val="21"/>
              </w:rPr>
              <w:t xml:space="preserve">Complement C1s (MNAR-DEG, 27% det.): MISSING in P4 → impute with group_median×0.7</w:t>
            </w:r>
          </w:p>
          <w:p>
            <w:pPr>
              <w:spacing w:before="0" w:after="40"/>
            </w:pPr>
            <w:r>
              <w:rPr>
                <w:rFonts w:ascii="Arial" w:cs="Arial" w:eastAsia="Arial" w:hAnsi="Arial"/>
                <w:color w:val="263238"/>
                <w:sz w:val="21"/>
                <w:szCs w:val="21"/>
              </w:rPr>
              <w:t xml:space="preserve">  → imputed log10 value = 4.15 × 0.7 = 2.91 | reliability factor = 0.7 | degradation_flag = 1</w:t>
            </w:r>
          </w:p>
          <w:p>
            <w:pPr>
              <w:spacing w:before="0" w:after="40"/>
            </w:pPr>
            <w:r>
              <w:rPr>
                <w:rFonts w:ascii="Arial" w:cs="Arial" w:eastAsia="Arial" w:hAnsi="Arial"/>
                <w:color w:val="263238"/>
                <w:sz w:val="21"/>
                <w:szCs w:val="21"/>
              </w:rPr>
              <w:t xml:space="preserve">Complement C1r-like (MNAR-BIO, 50% det.): present in this sample → use observed value</w:t>
            </w:r>
          </w:p>
          <w:p>
            <w:pPr>
              <w:spacing w:before="0" w:after="40"/>
            </w:pPr>
            <w:r>
              <w:rPr>
                <w:rFonts w:ascii="Arial" w:cs="Arial" w:eastAsia="Arial" w:hAnsi="Arial"/>
                <w:color w:val="263238"/>
                <w:sz w:val="21"/>
                <w:szCs w:val="21"/>
              </w:rPr>
              <w:t xml:space="preserve"/>
            </w:r>
          </w:p>
          <w:p>
            <w:pPr>
              <w:spacing w:before="0" w:after="40"/>
            </w:pPr>
            <w:r>
              <w:rPr>
                <w:rFonts w:ascii="Arial" w:cs="Arial" w:eastAsia="Arial" w:hAnsi="Arial"/>
                <w:color w:val="263238"/>
                <w:sz w:val="21"/>
                <w:szCs w:val="21"/>
              </w:rPr>
              <w:t xml:space="preserve">Final pathway score for P4 = sum(w_final_i × feature_i) × sample_QC_weight(0.7)</w:t>
            </w:r>
          </w:p>
          <w:p>
            <w:pPr>
              <w:spacing w:before="0" w:after="40"/>
            </w:pPr>
            <w:r>
              <w:rPr>
                <w:rFonts w:ascii="Arial" w:cs="Arial" w:eastAsia="Arial" w:hAnsi="Arial"/>
                <w:color w:val="263238"/>
                <w:sz w:val="21"/>
                <w:szCs w:val="21"/>
              </w:rPr>
              <w:t xml:space="preserve">The degradation flag on C1s ensures P4's complement score reflects uncertainty,</w:t>
            </w:r>
          </w:p>
          <w:p>
            <w:pPr>
              <w:spacing w:before="0" w:after="40"/>
            </w:pPr>
            <w:r>
              <w:rPr>
                <w:rFonts w:ascii="Arial" w:cs="Arial" w:eastAsia="Arial" w:hAnsi="Arial"/>
                <w:color w:val="263238"/>
                <w:sz w:val="21"/>
                <w:szCs w:val="21"/>
              </w:rPr>
              <w:t xml:space="preserve">rather than appearing falsely 'low complement' simply because C1s degraded.</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6.  Summary — What Changes, What Stays the Same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6560"/>
            <w:tcBorders>
              <w:top w:val="single" w:color="CFD8DC" w:sz="1"/>
              <w:left w:val="single" w:color="CFD8DC" w:sz="1"/>
              <w:bottom w:val="single" w:color="CFD8DC" w:sz="1"/>
              <w:right w:val="single" w:color="CFD8DC" w:sz="1"/>
            </w:tcBorders>
            <w:shd w:fill="1A237E" w:val="clear"/>
            <w:tcMar>
              <w:top w:type="dxa" w:w="90"/>
              <w:left w:type="dxa" w:w="130"/>
              <w:bottom w:type="dxa" w:w="90"/>
              <w:right w:type="dxa" w:w="130"/>
            </w:tcMar>
          </w:tcPr>
          <w:p>
            <w:r>
              <w:rPr>
                <w:rFonts w:ascii="Arial" w:cs="Arial" w:eastAsia="Arial" w:hAnsi="Arial"/>
                <w:b/>
                <w:bCs/>
                <w:color w:val="FFFFFF"/>
                <w:sz w:val="20"/>
                <w:szCs w:val="20"/>
              </w:rPr>
              <w:t xml:space="preserve">Answer</w:t>
            </w:r>
          </w:p>
        </w:tc>
      </w:tr>
      <w:tr>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Does degradation invalidate the dataset?</w:t>
            </w:r>
          </w:p>
        </w:tc>
        <w:tc>
          <w:tcPr>
            <w:tcW w:type="dxa" w:w="65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NO. Degradation is protein-specific, not sample-wide. The QC anchor proteins are stable, and Hgb-detection correlation (+0.20) is weak. The dataset is usable with appropriate protein-level corrections.</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Which proteins are most affected by RT degradation?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Complement activation fragments, coagulation serine proteases (Factor XI, ATIII variants), ceruloplasmin, angiotensinogen. These show mid-range intensities when detected with random per-sample missingness — the MNAR-DEG signature.</w:t>
            </w:r>
          </w:p>
        </w:tc>
      </w:tr>
      <w:tr>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Should LOD/sqrt(2) still be used?</w:t>
            </w:r>
          </w:p>
        </w:tc>
        <w:tc>
          <w:tcPr>
            <w:tcW w:type="dxa" w:w="65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YES, but only for confirmed MNAR-LOD proteins (frac_low &gt; 0.5). For MNAR-DEG proteins, use group-median × 0.7 instead. Using LOD/sqrt(2) on degraded proteins would give misleadingly low imputed values.</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Does this change the pathway weighting plan?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YES, in two ways: (1) MNAR-DEG proteins get a reliability_factor = 0.7 multiplied into their pathway weight w1; (2) Sample P4 gets a global down-weight of 0.7 in pathway score aggregation.</w:t>
            </w:r>
          </w:p>
        </w:tc>
      </w:tr>
      <w:tr>
        <w:tc>
          <w:tcPr>
            <w:tcW w:type="dxa" w:w="280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Is the 1,765-protein working set still valid?</w:t>
            </w:r>
          </w:p>
        </w:tc>
        <w:tc>
          <w:tcPr>
            <w:tcW w:type="dxa" w:w="6560"/>
            <w:tcBorders>
              <w:top w:val="single" w:color="CFD8DC" w:sz="1"/>
              <w:left w:val="single" w:color="CFD8DC" w:sz="1"/>
              <w:bottom w:val="single" w:color="CFD8DC" w:sz="1"/>
              <w:right w:val="single" w:color="CFD8DC" w:sz="1"/>
            </w:tcBorders>
            <w:shd w:fill="F8FBFF" w:val="clear"/>
            <w:tcMar>
              <w:top w:type="dxa" w:w="80"/>
              <w:left w:type="dxa" w:w="130"/>
              <w:bottom w:type="dxa" w:w="80"/>
              <w:right w:type="dxa" w:w="130"/>
            </w:tcMar>
          </w:tcPr>
          <w:p>
            <w:r>
              <w:rPr>
                <w:rFonts w:ascii="Arial" w:cs="Arial" w:eastAsia="Arial" w:hAnsi="Arial"/>
                <w:color w:val="263238"/>
                <w:sz w:val="20"/>
                <w:szCs w:val="20"/>
              </w:rPr>
              <w:t xml:space="preserve">YES. Using ≥10% detection as the threshold is appropriate. Remove only the 43 proteins with 0 detections. The 1,765-protein set captures the biologically informative proteome while excluding pure noise.</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What about the patient-exclusive proteins?</w:t>
            </w:r>
          </w:p>
        </w:tc>
        <w:tc>
          <w:tcPr>
            <w:tcW w:type="dxa" w:w="6560"/>
            <w:tcBorders>
              <w:top w:val="single" w:color="CFD8DC" w:sz="1"/>
              <w:left w:val="single" w:color="CFD8DC" w:sz="1"/>
              <w:bottom w:val="single" w:color="CFD8DC" w:sz="1"/>
              <w:right w:val="single" w:color="CFD8DC" w:sz="1"/>
            </w:tcBorders>
            <w:shd w:fill="FFFFFF" w:val="clear"/>
            <w:tcMar>
              <w:top w:type="dxa" w:w="80"/>
              <w:left w:type="dxa" w:w="130"/>
              <w:bottom w:type="dxa" w:w="80"/>
              <w:right w:type="dxa" w:w="130"/>
            </w:tcMar>
          </w:tcPr>
          <w:p>
            <w:r>
              <w:rPr>
                <w:rFonts w:ascii="Arial" w:cs="Arial" w:eastAsia="Arial" w:hAnsi="Arial"/>
                <w:color w:val="263238"/>
                <w:sz w:val="20"/>
                <w:szCs w:val="20"/>
              </w:rPr>
              <w:t xml:space="preserve">The 295 proteins found in ≥3 patients and 0 controls are classified as MNAR-BIO. They should NOT be imputed. They carry a binary signal that contributes to pathway scores through the detection indicator component.</w:t>
            </w:r>
          </w:p>
        </w:tc>
      </w:tr>
    </w:tbl>
    <w:p>
      <w:pPr>
        <w:spacing w:before="0" w:after="0"/>
      </w:pPr>
      <w:r>
        <w:t xml:space="preserve"/>
      </w:r>
    </w:p>
    <w:p>
      <w:pPr>
        <w:spacing w:before="0" w:after="0"/>
      </w:pPr>
      <w:r>
        <w:t xml:space="preserve"/>
      </w:r>
    </w:p>
    <w:p>
      <w:pPr>
        <w:pStyle w:val="Heading1"/>
        <w:pBdr>
          <w:bottom w:val="single" w:color="1565C0" w:sz="8" w:space="6"/>
        </w:pBdr>
        <w:spacing w:before="400" w:after="160"/>
      </w:pPr>
      <w:r>
        <w:rPr>
          <w:rFonts w:ascii="Arial" w:cs="Arial" w:eastAsia="Arial" w:hAnsi="Arial"/>
          <w:b/>
          <w:bCs/>
          <w:color w:val="1A237E"/>
          <w:sz w:val="30"/>
          <w:szCs w:val="30"/>
        </w:rPr>
        <w:t xml:space="preserve">7.  References</w:t>
      </w:r>
    </w:p>
    <w:p>
      <w:pPr>
        <w:spacing w:before="60" w:after="100"/>
      </w:pPr>
      <w:r>
        <w:rPr>
          <w:rFonts w:ascii="Arial" w:cs="Arial" w:eastAsia="Arial" w:hAnsi="Arial"/>
          <w:b w:val="false"/>
          <w:bCs w:val="false"/>
          <w:i w:val="false"/>
          <w:iCs w:val="false"/>
          <w:color w:val="263238"/>
          <w:sz w:val="22"/>
          <w:szCs w:val="22"/>
        </w:rPr>
        <w:t xml:space="preserve">1. Yin P et al. (2013). Pre-analytical aspects and sample quality assessment in metabolomics studies. TrAC Trends in Analytical Chemistry, 44, 133-142.</w:t>
      </w:r>
    </w:p>
    <w:p>
      <w:pPr>
        <w:spacing w:before="60" w:after="100"/>
      </w:pPr>
      <w:r>
        <w:rPr>
          <w:rFonts w:ascii="Arial" w:cs="Arial" w:eastAsia="Arial" w:hAnsi="Arial"/>
          <w:b w:val="false"/>
          <w:bCs w:val="false"/>
          <w:i w:val="false"/>
          <w:iCs w:val="false"/>
          <w:color w:val="263238"/>
          <w:sz w:val="22"/>
          <w:szCs w:val="22"/>
        </w:rPr>
        <w:t xml:space="preserve">2. Hicks LA et al. (2019). Delayed processing of blood plasma samples as a pre-analytical variable in proteomics studies. Clinical Chemistry, 65(5), 672-679.</w:t>
      </w:r>
    </w:p>
    <w:p>
      <w:pPr>
        <w:spacing w:before="60" w:after="100"/>
      </w:pPr>
      <w:r>
        <w:rPr>
          <w:rFonts w:ascii="Arial" w:cs="Arial" w:eastAsia="Arial" w:hAnsi="Arial"/>
          <w:b w:val="false"/>
          <w:bCs w:val="false"/>
          <w:i w:val="false"/>
          <w:iCs w:val="false"/>
          <w:color w:val="263238"/>
          <w:sz w:val="22"/>
          <w:szCs w:val="22"/>
        </w:rPr>
        <w:t xml:space="preserve">3. Lazar C et al. (2016). Accounting for the Multiple Natures of Missing Values in Label-Free Quantitative Proteomics. Journal of Proteome Research, 15(4), 1116-1125.</w:t>
      </w:r>
    </w:p>
    <w:p>
      <w:pPr>
        <w:spacing w:before="60" w:after="100"/>
      </w:pPr>
      <w:r>
        <w:rPr>
          <w:rFonts w:ascii="Arial" w:cs="Arial" w:eastAsia="Arial" w:hAnsi="Arial"/>
          <w:b w:val="false"/>
          <w:bCs w:val="false"/>
          <w:i w:val="false"/>
          <w:iCs w:val="false"/>
          <w:color w:val="263238"/>
          <w:sz w:val="22"/>
          <w:szCs w:val="22"/>
        </w:rPr>
        <w:t xml:space="preserve">4. Bourgon R et al. (2010). Independent filtering increases detection power for high-throughput experiments. PNAS, 107(21), 9546-9551.</w:t>
      </w:r>
    </w:p>
    <w:p>
      <w:pPr>
        <w:spacing w:before="60" w:after="100"/>
      </w:pPr>
      <w:r>
        <w:rPr>
          <w:rFonts w:ascii="Arial" w:cs="Arial" w:eastAsia="Arial" w:hAnsi="Arial"/>
          <w:b w:val="false"/>
          <w:bCs w:val="false"/>
          <w:i w:val="false"/>
          <w:iCs w:val="false"/>
          <w:color w:val="263238"/>
          <w:sz w:val="22"/>
          <w:szCs w:val="22"/>
        </w:rPr>
        <w:t xml:space="preserve">5. Christin C et al. (2011). A critical assessment of feature selection methods for biomarker discovery in clinical proteomics. Molecular &amp; Cellular Proteomics, 10(1).</w:t>
      </w:r>
    </w:p>
    <w:p>
      <w:pPr>
        <w:spacing w:before="60" w:after="100"/>
      </w:pPr>
      <w:r>
        <w:rPr>
          <w:rFonts w:ascii="Arial" w:cs="Arial" w:eastAsia="Arial" w:hAnsi="Arial"/>
          <w:b w:val="false"/>
          <w:bCs w:val="false"/>
          <w:i w:val="false"/>
          <w:iCs w:val="false"/>
          <w:color w:val="263238"/>
          <w:sz w:val="22"/>
          <w:szCs w:val="22"/>
        </w:rPr>
        <w:t xml:space="preserve">6. Broadhurst D et al. (2018). Guidelines and considerations for the use of system suitability and quality control samples in mass spectrometry assays. Metabolomics, 14(6), 72.</w:t>
      </w:r>
    </w:p>
    <w:p>
      <w:pPr>
        <w:spacing w:before="60" w:after="100"/>
      </w:pPr>
      <w:r>
        <w:rPr>
          <w:rFonts w:ascii="Arial" w:cs="Arial" w:eastAsia="Arial" w:hAnsi="Arial"/>
          <w:b w:val="false"/>
          <w:bCs w:val="false"/>
          <w:i w:val="false"/>
          <w:iCs w:val="false"/>
          <w:color w:val="263238"/>
          <w:sz w:val="22"/>
          <w:szCs w:val="22"/>
        </w:rPr>
        <w:t xml:space="preserve">7. Lee et al. (2025). Longitudinal plasma proteomics: relation to incident Alzheimer's disease dementia. Alzheimer's &amp; Dementia. DOI: 10.1002/dad2.70172.</w:t>
      </w:r>
    </w:p>
    <w:p>
      <w:pPr>
        <w:spacing w:before="0" w:after="0"/>
      </w:pPr>
      <w:r>
        <w:t xml:space="preserve"/>
      </w:r>
    </w:p>
    <w:p>
      <w:pPr>
        <w:pBdr>
          <w:top w:val="single" w:color="1565C0" w:sz="4" w:space="6"/>
        </w:pBdr>
        <w:spacing w:before="200"/>
        <w:jc w:val="center"/>
      </w:pPr>
      <w:r>
        <w:rPr>
          <w:rFonts w:ascii="Arial" w:cs="Arial" w:eastAsia="Arial" w:hAnsi="Arial"/>
          <w:i/>
          <w:iCs/>
          <w:color w:val="546E7A"/>
          <w:sz w:val="20"/>
          <w:szCs w:val="20"/>
        </w:rPr>
        <w:t xml:space="preserve">End of Document</w:t>
      </w:r>
    </w:p>
    <w:sectPr>
      <w:headerReference w:type="default" r:id="rId6"/>
      <w:footerReference w:type="default" r:id="rId7"/>
      <w:pgSz w:w="12240" w:h="15840" w:orient="portrait"/>
      <w:pgMar w:top="1008" w:right="1260"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546E7A"/>
        <w:sz w:val="18"/>
        <w:szCs w:val="18"/>
      </w:rPr>
      <w:t xml:space="preserve">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jc w:val="right"/>
    </w:pPr>
    <w:r>
      <w:rPr>
        <w:rFonts w:ascii="Arial" w:cs="Arial" w:eastAsia="Arial" w:hAnsi="Arial"/>
        <w:color w:val="546E7A"/>
        <w:sz w:val="18"/>
        <w:szCs w:val="18"/>
      </w:rPr>
      <w:t xml:space="preserve">Degradation-Aware Missing Data Strategy  |  </w:t>
    </w:r>
    <w:r>
      <w:rPr>
        <w:rFonts w:ascii="Arial" w:cs="Arial" w:eastAsia="Arial" w:hAnsi="Arial"/>
        <w:b/>
        <w:bCs/>
        <w:color w:val="1565C0"/>
        <w:sz w:val="18"/>
        <w:szCs w:val="18"/>
      </w:rPr>
      <w:t xml:space="preserve">AD Proteomics (1,765 proteins)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37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69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2026-02-17T12:07:10.725Z</dcterms:created>
  <dcterms:modified xsi:type="dcterms:W3CDTF">2026-02-17T12:07:10.726Z</dcterms:modified>
</cp:coreProperties>
</file>

<file path=docProps/custom.xml><?xml version="1.0" encoding="utf-8"?>
<Properties xmlns="http://schemas.openxmlformats.org/officeDocument/2006/custom-properties" xmlns:vt="http://schemas.openxmlformats.org/officeDocument/2006/docPropsVTypes"/>
</file>