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0" w:after="120"/>
        <w:jc w:val="center"/>
      </w:pPr>
      <w:r>
        <w:rPr>
          <w:rFonts w:ascii="Arial" w:cs="Arial" w:eastAsia="Arial" w:hAnsi="Arial"/>
          <w:b/>
          <w:bCs/>
          <w:caps/>
          <w:color w:val="1F4E79"/>
          <w:sz w:val="48"/>
          <w:szCs w:val="48"/>
        </w:rPr>
        <w:t xml:space="preserve">RESEARCH PROPOSAL</w:t>
      </w:r>
    </w:p>
    <w:p>
      <w:pPr>
        <w:pBdr>
          <w:bottom w:val="single" w:color="2196A6" w:sz="8" w:space="8"/>
        </w:pBdr>
        <w:spacing w:before="0" w:after="240"/>
        <w:jc w:val="center"/>
      </w:pPr>
      <w:r>
        <w:rPr>
          <w:rFonts w:ascii="Arial" w:cs="Arial" w:eastAsia="Arial" w:hAnsi="Arial"/>
          <w:b/>
          <w:bCs/>
          <w:color w:val="2E75B6"/>
          <w:sz w:val="30"/>
          <w:szCs w:val="30"/>
        </w:rPr>
        <w:t xml:space="preserve">Extending Plasma Proteomics Beyond the Core Panel:</w:t>
      </w:r>
    </w:p>
    <w:p>
      <w:pPr>
        <w:spacing w:before="120" w:after="480"/>
        <w:jc w:val="center"/>
      </w:pPr>
      <w:r>
        <w:rPr>
          <w:rFonts w:ascii="Arial" w:cs="Arial" w:eastAsia="Arial" w:hAnsi="Arial"/>
          <w:b w:val="false"/>
          <w:bCs w:val="false"/>
          <w:i/>
          <w:iCs/>
          <w:color w:val="404040"/>
          <w:sz w:val="28"/>
          <w:szCs w:val="28"/>
        </w:rPr>
        <w:t xml:space="preserve">Sparse &amp; Patient-Specific Protein Signatures as Novel Biomarkers for Alzheimer's Disease</w:t>
      </w:r>
    </w:p>
    <w:p>
      <w:r>
        <w:t xml:space="preserve"/>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tblGrid>
      <w:tr>
        <w:tc>
          <w:tcPr>
            <w:tcW w:type="dxa" w:w="32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Based on Dataset</w:t>
            </w:r>
          </w:p>
        </w:tc>
        <w:tc>
          <w:tcPr>
            <w:tcW w:type="dxa" w:w="4000"/>
            <w:tcBorders>
              <w:top w:val="none" w:color="FFFFFF" w:sz="0"/>
              <w:left w:val="none" w:color="FFFFFF" w:sz="0"/>
              <w:bottom w:val="none" w:color="FFFFFF" w:sz="0"/>
              <w:right w:val="none" w:color="FFFFFF" w:sz="0"/>
            </w:tcBorders>
            <w:shd w:fill="F5F9FC" w:val="clear"/>
            <w:tcMar>
              <w:top w:type="dxa" w:w="100"/>
              <w:left w:type="dxa" w:w="160"/>
              <w:bottom w:type="dxa" w:w="100"/>
              <w:right w:type="dxa" w:w="160"/>
            </w:tcMar>
          </w:tcPr>
          <w:p>
            <w:r>
              <w:rPr>
                <w:rFonts w:ascii="Arial" w:cs="Arial" w:eastAsia="Arial" w:hAnsi="Arial"/>
                <w:color w:val="404040"/>
                <w:sz w:val="20"/>
                <w:szCs w:val="20"/>
              </w:rPr>
              <w:t xml:space="preserve">Lee et al. (2025), Alzheimer's &amp; Dementia: DAD2.70172</w:t>
            </w:r>
          </w:p>
        </w:tc>
      </w:tr>
      <w:tr>
        <w:tc>
          <w:tcPr>
            <w:tcW w:type="dxa" w:w="32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Dataset</w:t>
            </w:r>
          </w:p>
        </w:tc>
        <w:tc>
          <w:tcPr>
            <w:tcW w:type="dxa" w:w="4000"/>
            <w:tcBorders>
              <w:top w:val="none" w:color="FFFFFF" w:sz="0"/>
              <w:left w:val="none" w:color="FFFFFF" w:sz="0"/>
              <w:bottom w:val="none" w:color="FFFFFF" w:sz="0"/>
              <w:right w:val="none" w:color="FFFFFF" w:sz="0"/>
            </w:tcBorders>
            <w:shd w:fill="F5F9FC" w:val="clear"/>
            <w:tcMar>
              <w:top w:type="dxa" w:w="100"/>
              <w:left w:type="dxa" w:w="160"/>
              <w:bottom w:type="dxa" w:w="100"/>
              <w:right w:type="dxa" w:w="160"/>
            </w:tcMar>
          </w:tcPr>
          <w:p>
            <w:r>
              <w:rPr>
                <w:rFonts w:ascii="Arial" w:cs="Arial" w:eastAsia="Arial" w:hAnsi="Arial"/>
                <w:color w:val="404040"/>
                <w:sz w:val="20"/>
                <w:szCs w:val="20"/>
              </w:rPr>
              <w:t xml:space="preserve">5,410 proteins | 20 AD patients | 10 controls (normalized plasma MS)</w:t>
            </w:r>
          </w:p>
        </w:tc>
      </w:tr>
      <w:tr>
        <w:tc>
          <w:tcPr>
            <w:tcW w:type="dxa" w:w="32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Novel Focus</w:t>
            </w:r>
          </w:p>
        </w:tc>
        <w:tc>
          <w:tcPr>
            <w:tcW w:type="dxa" w:w="4000"/>
            <w:tcBorders>
              <w:top w:val="none" w:color="FFFFFF" w:sz="0"/>
              <w:left w:val="none" w:color="FFFFFF" w:sz="0"/>
              <w:bottom w:val="none" w:color="FFFFFF" w:sz="0"/>
              <w:right w:val="none" w:color="FFFFFF" w:sz="0"/>
            </w:tcBorders>
            <w:shd w:fill="F5F9FC" w:val="clear"/>
            <w:tcMar>
              <w:top w:type="dxa" w:w="100"/>
              <w:left w:type="dxa" w:w="160"/>
              <w:bottom w:type="dxa" w:w="100"/>
              <w:right w:type="dxa" w:w="160"/>
            </w:tcMar>
          </w:tcPr>
          <w:p>
            <w:r>
              <w:rPr>
                <w:rFonts w:ascii="Arial" w:cs="Arial" w:eastAsia="Arial" w:hAnsi="Arial"/>
                <w:color w:val="404040"/>
                <w:sz w:val="20"/>
                <w:szCs w:val="20"/>
              </w:rPr>
              <w:t xml:space="preserve">5,150 proteins excluded from original analysis due to detection thresholds</w:t>
            </w:r>
          </w:p>
        </w:tc>
      </w:tr>
    </w:tbl>
    <w:p>
      <w:r>
        <w:t xml:space="preserve"/>
      </w:r>
    </w:p>
    <w:p>
      <w:r>
        <w:t xml:space="preserve"/>
      </w:r>
    </w:p>
    <w:p>
      <w:r>
        <w:t xml:space="preserve"/>
      </w:r>
    </w:p>
    <w:p>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Executive Summary</w:t>
      </w:r>
    </w:p>
    <w:p>
      <w:pPr>
        <w:spacing w:before="60" w:after="100"/>
      </w:pPr>
      <w:r>
        <w:rPr>
          <w:rFonts w:ascii="Arial" w:cs="Arial" w:eastAsia="Arial" w:hAnsi="Arial"/>
          <w:b w:val="false"/>
          <w:bCs w:val="false"/>
          <w:i w:val="false"/>
          <w:iCs w:val="false"/>
          <w:color w:val="404040"/>
          <w:sz w:val="22"/>
          <w:szCs w:val="22"/>
        </w:rPr>
        <w:t xml:space="preserve">The original study published in Alzheimer's &amp; Dementia: Diagnosis, Assessment &amp; Disease Monitoring (DAD2.70172) analyzed 260 plasma proteins (detected in ≥50% of samples) and identified complement system dysregulation and coagulation pathway alterations as key signatures in Alzheimer's disease (AD). This proposal argues that the remaining 5,150 proteins in the dataset — particularly the 1,505 sparse proteins with 10–50% detection rates and the 295 proteins found exclusively in patients — represent an untapped and biologically informative resource.</w:t>
      </w:r>
    </w:p>
    <w:p>
      <w:pPr>
        <w:spacing w:before="60" w:after="100"/>
      </w:pPr>
      <w:r>
        <w:rPr>
          <w:rFonts w:ascii="Arial" w:cs="Arial" w:eastAsia="Arial" w:hAnsi="Arial"/>
          <w:b w:val="false"/>
          <w:bCs w:val="false"/>
          <w:i w:val="false"/>
          <w:iCs w:val="false"/>
          <w:color w:val="404040"/>
          <w:sz w:val="22"/>
          <w:szCs w:val="22"/>
        </w:rPr>
        <w:t xml:space="preserve">We propose three interconnected research aims: (1) a binary co-detection network approach treating sparse protein presence/absence as a structured biological signal rather than missing data; (2) a patient proteome heterogeneity analysis leveraging per-patient detection profiles to define AD molecular subtypes; and (3) integration of sparse immunoglobulin repertoire patterns as a proxy for neuroinflammatory immune states. Together, these aims reframe proteomics missingness from a liability into a feature.</w:t>
      </w:r>
    </w:p>
    <w:p>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1. Background and Motivation</w:t>
      </w:r>
    </w:p>
    <w:p>
      <w:pPr>
        <w:pStyle w:val="Heading2"/>
        <w:spacing w:before="240" w:after="120"/>
      </w:pPr>
      <w:r>
        <w:rPr>
          <w:rFonts w:ascii="Arial" w:cs="Arial" w:eastAsia="Arial" w:hAnsi="Arial"/>
          <w:b/>
          <w:bCs/>
          <w:color w:val="2E75B6"/>
          <w:sz w:val="26"/>
          <w:szCs w:val="26"/>
        </w:rPr>
        <w:t xml:space="preserve">1.1 What the Original Study Did</w:t>
      </w:r>
    </w:p>
    <w:p>
      <w:pPr>
        <w:spacing w:before="60" w:after="100"/>
      </w:pPr>
      <w:r>
        <w:rPr>
          <w:rFonts w:ascii="Arial" w:cs="Arial" w:eastAsia="Arial" w:hAnsi="Arial"/>
          <w:b w:val="false"/>
          <w:bCs w:val="false"/>
          <w:i w:val="false"/>
          <w:iCs w:val="false"/>
          <w:color w:val="404040"/>
          <w:sz w:val="22"/>
          <w:szCs w:val="22"/>
        </w:rPr>
        <w:t xml:space="preserve">The published study applied a detection threshold of ≥50% of samples to select 260 proteins for statistical analysis, using linear mixed-effects models and machine learning to identify longitudinal protein changes associated with AD progression and imaging biomarkers. This conservative approach is standard practice and ensures statistical robustness. Key findings included elevated complement factor C7 and dysregulation of coagulation pathway serpins.</w:t>
      </w:r>
    </w:p>
    <w:p>
      <w:pPr>
        <w:pStyle w:val="Heading2"/>
        <w:spacing w:before="240" w:after="120"/>
      </w:pPr>
      <w:r>
        <w:rPr>
          <w:rFonts w:ascii="Arial" w:cs="Arial" w:eastAsia="Arial" w:hAnsi="Arial"/>
          <w:b/>
          <w:bCs/>
          <w:color w:val="2E75B6"/>
          <w:sz w:val="26"/>
          <w:szCs w:val="26"/>
        </w:rPr>
        <w:t xml:space="preserve">1.2 What Was Left Behind</w:t>
      </w:r>
    </w:p>
    <w:p>
      <w:pPr>
        <w:spacing w:before="60" w:after="100"/>
      </w:pPr>
      <w:r>
        <w:rPr>
          <w:rFonts w:ascii="Arial" w:cs="Arial" w:eastAsia="Arial" w:hAnsi="Arial"/>
          <w:b w:val="false"/>
          <w:bCs w:val="false"/>
          <w:i w:val="false"/>
          <w:iCs w:val="false"/>
          <w:color w:val="404040"/>
          <w:sz w:val="22"/>
          <w:szCs w:val="22"/>
        </w:rPr>
        <w:t xml:space="preserve">Applying the 50% threshold excluded approximately 95% of the measured proteome. Our exploratory analysis of the full dataset reveals that this excluded data is not random noise:</w:t>
      </w:r>
    </w:p>
    <w:p>
      <w:pPr>
        <w:pStyle w:val="ListParagraph"/>
        <w:numPr>
          <w:ilvl w:val="0"/>
          <w:numId w:val="2"/>
        </w:numPr>
        <w:spacing w:before="40" w:after="60"/>
      </w:pPr>
      <w:r>
        <w:rPr>
          <w:rFonts w:ascii="Arial" w:cs="Arial" w:eastAsia="Arial" w:hAnsi="Arial"/>
          <w:b w:val="false"/>
          <w:bCs w:val="false"/>
          <w:color w:val="404040"/>
          <w:sz w:val="22"/>
          <w:szCs w:val="22"/>
        </w:rPr>
        <w:t xml:space="preserve">5,410 total proteins measured, 260 (4.8%) analyzed in the paper</w:t>
      </w:r>
    </w:p>
    <w:p>
      <w:pPr>
        <w:pStyle w:val="ListParagraph"/>
        <w:numPr>
          <w:ilvl w:val="0"/>
          <w:numId w:val="2"/>
        </w:numPr>
        <w:spacing w:before="40" w:after="60"/>
      </w:pPr>
      <w:r>
        <w:rPr>
          <w:rFonts w:ascii="Arial" w:cs="Arial" w:eastAsia="Arial" w:hAnsi="Arial"/>
          <w:b w:val="false"/>
          <w:bCs w:val="false"/>
          <w:color w:val="404040"/>
          <w:sz w:val="22"/>
          <w:szCs w:val="22"/>
        </w:rPr>
        <w:t xml:space="preserve">1,505 additional proteins show 10–50% detection ('sparse' proteins)</w:t>
      </w:r>
    </w:p>
    <w:p>
      <w:pPr>
        <w:pStyle w:val="ListParagraph"/>
        <w:numPr>
          <w:ilvl w:val="0"/>
          <w:numId w:val="2"/>
        </w:numPr>
        <w:spacing w:before="40" w:after="60"/>
      </w:pPr>
      <w:r>
        <w:rPr>
          <w:rFonts w:ascii="Arial" w:cs="Arial" w:eastAsia="Arial" w:hAnsi="Arial"/>
          <w:b w:val="false"/>
          <w:bCs w:val="false"/>
          <w:color w:val="404040"/>
          <w:sz w:val="22"/>
          <w:szCs w:val="22"/>
        </w:rPr>
        <w:t xml:space="preserve">295 proteins are detected in 3 or more AD patients but ZERO controls</w:t>
      </w:r>
    </w:p>
    <w:p>
      <w:pPr>
        <w:pStyle w:val="ListParagraph"/>
        <w:numPr>
          <w:ilvl w:val="0"/>
          <w:numId w:val="2"/>
        </w:numPr>
        <w:spacing w:before="40" w:after="60"/>
      </w:pPr>
      <w:r>
        <w:rPr>
          <w:rFonts w:ascii="Arial" w:cs="Arial" w:eastAsia="Arial" w:hAnsi="Arial"/>
          <w:b w:val="false"/>
          <w:bCs w:val="false"/>
          <w:color w:val="404040"/>
          <w:sz w:val="22"/>
          <w:szCs w:val="22"/>
        </w:rPr>
        <w:t xml:space="preserve">Only 21 proteins are similarly exclusive to controls</w:t>
      </w:r>
    </w:p>
    <w:p>
      <w:pPr>
        <w:pStyle w:val="ListParagraph"/>
        <w:numPr>
          <w:ilvl w:val="0"/>
          <w:numId w:val="2"/>
        </w:numPr>
        <w:spacing w:before="40" w:after="60"/>
      </w:pPr>
      <w:r>
        <w:rPr>
          <w:rFonts w:ascii="Arial" w:cs="Arial" w:eastAsia="Arial" w:hAnsi="Arial"/>
          <w:b w:val="false"/>
          <w:bCs w:val="false"/>
          <w:color w:val="404040"/>
          <w:sz w:val="22"/>
          <w:szCs w:val="22"/>
        </w:rPr>
        <w:t xml:space="preserve">Per-patient protein detection counts range from 448 to 910, with mean ~654 vs. ~631 for controls — suggesting patients have a detectably broader circulating proteome</w:t>
      </w:r>
    </w:p>
    <w:p>
      <w:pPr>
        <w:spacing w:before="60" w:after="100"/>
      </w:pPr>
      <w:r>
        <w:rPr>
          <w:rFonts w:ascii="Arial" w:cs="Arial" w:eastAsia="Arial" w:hAnsi="Arial"/>
          <w:b w:val="false"/>
          <w:bCs w:val="false"/>
          <w:i w:val="false"/>
          <w:iCs w:val="false"/>
          <w:color w:val="404040"/>
          <w:sz w:val="22"/>
          <w:szCs w:val="22"/>
        </w:rPr>
        <w:t xml:space="preserve">This asymmetry in patient-specific protein detection is itself a signal. Sparse detection in mass spectrometry plasma proteomics often reflects low-abundance, disease-induced protein shedding, proteolytic processing, or aberrant secretion — all processes relevant to AD neuropathology.</w:t>
      </w:r>
    </w:p>
    <w:p>
      <w:pPr>
        <w:pStyle w:val="Heading2"/>
        <w:spacing w:before="240" w:after="120"/>
      </w:pPr>
      <w:r>
        <w:rPr>
          <w:rFonts w:ascii="Arial" w:cs="Arial" w:eastAsia="Arial" w:hAnsi="Arial"/>
          <w:b/>
          <w:bCs/>
          <w:color w:val="2E75B6"/>
          <w:sz w:val="26"/>
          <w:szCs w:val="26"/>
        </w:rPr>
        <w:t xml:space="preserve">1.3 Key Preliminary Observations from the Full Dataset</w:t>
      </w:r>
    </w:p>
    <w:p>
      <w:pPr>
        <w:spacing w:before="60" w:after="100"/>
      </w:pPr>
      <w:r>
        <w:rPr>
          <w:rFonts w:ascii="Arial" w:cs="Arial" w:eastAsia="Arial" w:hAnsi="Arial"/>
          <w:b w:val="false"/>
          <w:bCs w:val="false"/>
          <w:i w:val="false"/>
          <w:iCs w:val="false"/>
          <w:color w:val="404040"/>
          <w:sz w:val="22"/>
          <w:szCs w:val="22"/>
        </w:rPr>
        <w:t xml:space="preserve">Our analysis identified the following in the sparse protein space (proteins not in the original paper):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560"/>
        <w:gridCol w:w="32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Protein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Patient Det.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 Det.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Biological Relevance</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Ceruloplasmin</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9/20</w:t>
            </w:r>
          </w:p>
        </w:tc>
        <w:tc>
          <w:tcPr>
            <w:tcW w:type="dxa" w:w="1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0/10</w:t>
            </w:r>
          </w:p>
        </w:tc>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Iron/copper metabolism, oxidative stress in 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Serum Amyloid A (SAA)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12/20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Acute phase reactant, neuroinflammation</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Peroxiredoxin-2 (PRDX2)</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7/20</w:t>
            </w:r>
          </w:p>
        </w:tc>
        <w:tc>
          <w:tcPr>
            <w:tcW w:type="dxa" w:w="1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0/10</w:t>
            </w:r>
          </w:p>
        </w:tc>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Antioxidant enzyme; elevated in AD blood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SERPINF2 (alpha-2-antiplasmin)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9/20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Fibrinolysis inhibitor, platelet-linked</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Complement C1s</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8/20</w:t>
            </w:r>
          </w:p>
        </w:tc>
        <w:tc>
          <w:tcPr>
            <w:tcW w:type="dxa" w:w="1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0/10</w:t>
            </w:r>
          </w:p>
        </w:tc>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Complement activation; ties to core paper findings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Apolipoprotein 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6/20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Lipid metabolism; dysregulated in AD</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Cystatin-C</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16/20</w:t>
            </w:r>
          </w:p>
        </w:tc>
        <w:tc>
          <w:tcPr>
            <w:tcW w:type="dxa" w:w="1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3/10</w:t>
            </w:r>
          </w:p>
        </w:tc>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Lysosomal pathway, cathepsin inhibitor, AD risk gene</w:t>
            </w:r>
          </w:p>
        </w:tc>
      </w:tr>
    </w:tbl>
    <w:p>
      <w:r>
        <w:t xml:space="preserve"/>
      </w:r>
    </w:p>
    <w:p>
      <w:pPr>
        <w:spacing w:before="60" w:after="100"/>
      </w:pPr>
      <w:r>
        <w:rPr>
          <w:rFonts w:ascii="Arial" w:cs="Arial" w:eastAsia="Arial" w:hAnsi="Arial"/>
          <w:b w:val="false"/>
          <w:bCs w:val="false"/>
          <w:i w:val="false"/>
          <w:iCs w:val="false"/>
          <w:color w:val="404040"/>
          <w:sz w:val="22"/>
          <w:szCs w:val="22"/>
        </w:rPr>
        <w:t xml:space="preserve">Importantly, several of these proteins (Ceruloplasmin, SAA, PRDX2) have independent literature support as AD-relevant biomarkers but were excluded from the original analysis solely due to detection rates. Additionally, Cystatin-C (CST3) is encoded near a known AD risk locus and plays a direct role in lysosomal amyloid processing.</w:t>
      </w:r>
    </w:p>
    <w:p>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2. Specific Aims</w:t>
      </w:r>
    </w:p>
    <w:p>
      <w:pPr>
        <w:pStyle w:val="Heading2"/>
        <w:spacing w:before="240" w:after="120"/>
      </w:pPr>
      <w:r>
        <w:rPr>
          <w:rFonts w:ascii="Arial" w:cs="Arial" w:eastAsia="Arial" w:hAnsi="Arial"/>
          <w:b/>
          <w:bCs/>
          <w:color w:val="2E75B6"/>
          <w:sz w:val="26"/>
          <w:szCs w:val="26"/>
        </w:rPr>
        <w:t xml:space="preserve">Aim 1: Binary Co-Detection Network Analysis of the Sparse Proteome</w:t>
      </w:r>
    </w:p>
    <w:p>
      <w:pPr>
        <w:pStyle w:val="Heading3"/>
        <w:spacing w:before="180" w:after="80"/>
      </w:pPr>
      <w:r>
        <w:rPr>
          <w:rFonts w:ascii="Arial" w:cs="Arial" w:eastAsia="Arial" w:hAnsi="Arial"/>
          <w:b/>
          <w:bCs/>
          <w:color w:val="2196A6"/>
          <w:sz w:val="24"/>
          <w:szCs w:val="24"/>
        </w:rPr>
        <w:t xml:space="preserve">Rationale</w:t>
      </w:r>
    </w:p>
    <w:p>
      <w:pPr>
        <w:spacing w:before="60" w:after="100"/>
      </w:pPr>
      <w:r>
        <w:rPr>
          <w:rFonts w:ascii="Arial" w:cs="Arial" w:eastAsia="Arial" w:hAnsi="Arial"/>
          <w:b w:val="false"/>
          <w:bCs w:val="false"/>
          <w:i w:val="false"/>
          <w:iCs w:val="false"/>
          <w:color w:val="404040"/>
          <w:sz w:val="22"/>
          <w:szCs w:val="22"/>
        </w:rPr>
        <w:t xml:space="preserve">Standard proteomics treats missing values as a data quality problem to be imputed or discarded. However, in low-abundance plasma proteomics, a protein being detected vs. not detected is itself biologically informative. The pattern of which proteins are simultaneously detectable in the same patient can reveal disease-state-specific proteomic microenvironments.</w:t>
      </w:r>
    </w:p>
    <w:p>
      <w:pPr>
        <w:pStyle w:val="Heading3"/>
        <w:spacing w:before="180" w:after="80"/>
      </w:pPr>
      <w:r>
        <w:rPr>
          <w:rFonts w:ascii="Arial" w:cs="Arial" w:eastAsia="Arial" w:hAnsi="Arial"/>
          <w:b/>
          <w:bCs/>
          <w:color w:val="2196A6"/>
          <w:sz w:val="24"/>
          <w:szCs w:val="24"/>
        </w:rPr>
        <w:t xml:space="preserve">Proposed Approach</w:t>
      </w:r>
    </w:p>
    <w:p>
      <w:pPr>
        <w:pStyle w:val="ListParagraph"/>
        <w:numPr>
          <w:ilvl w:val="0"/>
          <w:numId w:val="3"/>
        </w:numPr>
        <w:spacing w:before="40" w:after="60"/>
      </w:pPr>
      <w:r>
        <w:rPr>
          <w:rFonts w:ascii="Arial" w:cs="Arial" w:eastAsia="Arial" w:hAnsi="Arial"/>
          <w:b w:val="false"/>
          <w:bCs w:val="false"/>
          <w:color w:val="404040"/>
          <w:sz w:val="22"/>
          <w:szCs w:val="22"/>
        </w:rPr>
        <w:t xml:space="preserve">Construct a binary presence/absence matrix for all 1,505 sparse proteins across 30 samples (20 AD, 10 controls).</w:t>
      </w:r>
    </w:p>
    <w:p>
      <w:pPr>
        <w:pStyle w:val="ListParagraph"/>
        <w:numPr>
          <w:ilvl w:val="0"/>
          <w:numId w:val="3"/>
        </w:numPr>
        <w:spacing w:before="40" w:after="60"/>
      </w:pPr>
      <w:r>
        <w:rPr>
          <w:rFonts w:ascii="Arial" w:cs="Arial" w:eastAsia="Arial" w:hAnsi="Arial"/>
          <w:b w:val="false"/>
          <w:bCs w:val="false"/>
          <w:color w:val="404040"/>
          <w:sz w:val="22"/>
          <w:szCs w:val="22"/>
        </w:rPr>
        <w:t xml:space="preserve">Apply Fisher's exact tests (as piloted in our preliminary analysis) with FDR correction to identify proteins with significantly differential detection between AD patients and controls.</w:t>
      </w:r>
    </w:p>
    <w:p>
      <w:pPr>
        <w:pStyle w:val="ListParagraph"/>
        <w:numPr>
          <w:ilvl w:val="0"/>
          <w:numId w:val="3"/>
        </w:numPr>
        <w:spacing w:before="40" w:after="60"/>
      </w:pPr>
      <w:r>
        <w:rPr>
          <w:rFonts w:ascii="Arial" w:cs="Arial" w:eastAsia="Arial" w:hAnsi="Arial"/>
          <w:b w:val="false"/>
          <w:bCs w:val="false"/>
          <w:color w:val="404040"/>
          <w:sz w:val="22"/>
          <w:szCs w:val="22"/>
        </w:rPr>
        <w:t xml:space="preserve">Build a co-detection network where nodes are sparse proteins and edges represent co-occurrence in the same individual (phi coefficient &gt; 0.4). Identify modules using community detection algorithms (e.g., Leiden algorithm).</w:t>
      </w:r>
    </w:p>
    <w:p>
      <w:pPr>
        <w:pStyle w:val="ListParagraph"/>
        <w:numPr>
          <w:ilvl w:val="0"/>
          <w:numId w:val="3"/>
        </w:numPr>
        <w:spacing w:before="40" w:after="60"/>
      </w:pPr>
      <w:r>
        <w:rPr>
          <w:rFonts w:ascii="Arial" w:cs="Arial" w:eastAsia="Arial" w:hAnsi="Arial"/>
          <w:b w:val="false"/>
          <w:bCs w:val="false"/>
          <w:color w:val="404040"/>
          <w:sz w:val="22"/>
          <w:szCs w:val="22"/>
        </w:rPr>
        <w:t xml:space="preserve">Test whether co-detection modules are enriched in known AD-relevant biological pathways (GO, KEGG, Reactome) using hypergeometric enrichment.</w:t>
      </w:r>
    </w:p>
    <w:p>
      <w:pPr>
        <w:pStyle w:val="ListParagraph"/>
        <w:numPr>
          <w:ilvl w:val="0"/>
          <w:numId w:val="3"/>
        </w:numPr>
        <w:spacing w:before="40" w:after="60"/>
      </w:pPr>
      <w:r>
        <w:rPr>
          <w:rFonts w:ascii="Arial" w:cs="Arial" w:eastAsia="Arial" w:hAnsi="Arial"/>
          <w:b w:val="false"/>
          <w:bCs w:val="false"/>
          <w:color w:val="404040"/>
          <w:sz w:val="22"/>
          <w:szCs w:val="22"/>
        </w:rPr>
        <w:t xml:space="preserve">Validate top candidate proteins against external plasma proteomics databases (PPARG, ProteomicsDB) and published AD protein interaction networks.</w:t>
      </w:r>
    </w:p>
    <w:p>
      <w:pPr>
        <w:pStyle w:val="Heading3"/>
        <w:spacing w:before="180" w:after="80"/>
      </w:pPr>
      <w:r>
        <w:rPr>
          <w:rFonts w:ascii="Arial" w:cs="Arial" w:eastAsia="Arial" w:hAnsi="Arial"/>
          <w:b/>
          <w:bCs/>
          <w:color w:val="2196A6"/>
          <w:sz w:val="24"/>
          <w:szCs w:val="24"/>
        </w:rPr>
        <w:t xml:space="preserve">Expected Outputs</w:t>
      </w:r>
    </w:p>
    <w:p>
      <w:pPr>
        <w:pStyle w:val="ListParagraph"/>
        <w:numPr>
          <w:ilvl w:val="0"/>
          <w:numId w:val="2"/>
        </w:numPr>
        <w:spacing w:before="40" w:after="60"/>
      </w:pPr>
      <w:r>
        <w:rPr>
          <w:rFonts w:ascii="Arial" w:cs="Arial" w:eastAsia="Arial" w:hAnsi="Arial"/>
          <w:b w:val="false"/>
          <w:bCs w:val="false"/>
          <w:color w:val="404040"/>
          <w:sz w:val="22"/>
          <w:szCs w:val="22"/>
        </w:rPr>
        <w:t xml:space="preserve">A ranked list of sparse proteins differentially detected in AD vs. controls (FDR &lt; 0.1)</w:t>
      </w:r>
    </w:p>
    <w:p>
      <w:pPr>
        <w:pStyle w:val="ListParagraph"/>
        <w:numPr>
          <w:ilvl w:val="0"/>
          <w:numId w:val="2"/>
        </w:numPr>
        <w:spacing w:before="40" w:after="60"/>
      </w:pPr>
      <w:r>
        <w:rPr>
          <w:rFonts w:ascii="Arial" w:cs="Arial" w:eastAsia="Arial" w:hAnsi="Arial"/>
          <w:b w:val="false"/>
          <w:bCs w:val="false"/>
          <w:color w:val="404040"/>
          <w:sz w:val="22"/>
          <w:szCs w:val="22"/>
        </w:rPr>
        <w:t xml:space="preserve">A co-detection network identifying functional clusters of low-abundance AD-associated proteins</w:t>
      </w:r>
    </w:p>
    <w:p>
      <w:pPr>
        <w:pStyle w:val="ListParagraph"/>
        <w:numPr>
          <w:ilvl w:val="0"/>
          <w:numId w:val="2"/>
        </w:numPr>
        <w:spacing w:before="40" w:after="60"/>
      </w:pPr>
      <w:r>
        <w:rPr>
          <w:rFonts w:ascii="Arial" w:cs="Arial" w:eastAsia="Arial" w:hAnsi="Arial"/>
          <w:b w:val="false"/>
          <w:bCs w:val="false"/>
          <w:color w:val="404040"/>
          <w:sz w:val="22"/>
          <w:szCs w:val="22"/>
        </w:rPr>
        <w:t xml:space="preserve">Pathway enrichment results revealing biological processes captured in the sparse proteome but missed by the 50% threshold</w:t>
      </w:r>
    </w:p>
    <w:p>
      <w:pPr>
        <w:pStyle w:val="Heading3"/>
        <w:spacing w:before="180" w:after="80"/>
      </w:pPr>
      <w:r>
        <w:rPr>
          <w:rFonts w:ascii="Arial" w:cs="Arial" w:eastAsia="Arial" w:hAnsi="Arial"/>
          <w:b/>
          <w:bCs/>
          <w:color w:val="2196A6"/>
          <w:sz w:val="24"/>
          <w:szCs w:val="24"/>
        </w:rPr>
        <w:t xml:space="preserve">Key Preliminary Finding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196A6" w:sz="24"/>
              <w:bottom w:val="single" w:color="2E75B6" w:sz="4"/>
              <w:right w:val="none" w:color="FFFFFF" w:sz="0"/>
            </w:tcBorders>
            <w:shd w:fill="D6E4F0" w:val="clear"/>
            <w:tcMar>
              <w:top w:type="dxa" w:w="120"/>
              <w:left w:type="dxa" w:w="200"/>
              <w:bottom w:type="dxa" w:w="120"/>
              <w:right w:type="dxa" w:w="120"/>
            </w:tcMar>
          </w:tcPr>
          <w:p>
            <w:pPr>
              <w:spacing w:before="0" w:after="60"/>
            </w:pPr>
            <w:r>
              <w:rPr>
                <w:rFonts w:ascii="Arial" w:cs="Arial" w:eastAsia="Arial" w:hAnsi="Arial"/>
                <w:b/>
                <w:bCs/>
                <w:color w:val="1F4E79"/>
                <w:sz w:val="22"/>
                <w:szCs w:val="22"/>
              </w:rPr>
              <w:t xml:space="preserve">Fisher's Exact Test — Pilot Results</w:t>
            </w:r>
          </w:p>
          <w:p>
            <w:pPr>
              <w:spacing w:before="0" w:after="0"/>
            </w:pPr>
            <w:r>
              <w:rPr>
                <w:rFonts w:ascii="Arial" w:cs="Arial" w:eastAsia="Arial" w:hAnsi="Arial"/>
                <w:color w:val="404040"/>
                <w:sz w:val="22"/>
                <w:szCs w:val="22"/>
              </w:rPr>
              <w:t xml:space="preserve">From our exploratory analysis: 46 proteins showed significantly different detection rates between AD patients and controls at p &lt; 0.05 (Fisher's exact test). Eight reached p &lt; 0.01. The top hit, Serine/cysteine proteinase inhibitor clade G member 1 splice variant 2, was detected in 13/20 patients vs. 1/10 controls (OR = 16.7, p = 0.0067). Serum Amyloid A protein showed 12/20 patient detections vs. 1/10 control (p = 0.017). Critically, these are proteins entirely absent from the original paper's 260-protein analysis.</w:t>
            </w:r>
          </w:p>
        </w:tc>
      </w:tr>
    </w:tbl>
    <w:p>
      <w:r>
        <w:t xml:space="preserve"/>
      </w:r>
    </w:p>
    <w:p>
      <w:pPr>
        <w:pStyle w:val="Heading2"/>
        <w:spacing w:before="240" w:after="120"/>
      </w:pPr>
      <w:r>
        <w:rPr>
          <w:rFonts w:ascii="Arial" w:cs="Arial" w:eastAsia="Arial" w:hAnsi="Arial"/>
          <w:b/>
          <w:bCs/>
          <w:color w:val="2E75B6"/>
          <w:sz w:val="26"/>
          <w:szCs w:val="26"/>
        </w:rPr>
        <w:t xml:space="preserve">Aim 2: Patient Proteome Heterogeneity and Molecular Subtyping</w:t>
      </w:r>
    </w:p>
    <w:p>
      <w:pPr>
        <w:pStyle w:val="Heading3"/>
        <w:spacing w:before="180" w:after="80"/>
      </w:pPr>
      <w:r>
        <w:rPr>
          <w:rFonts w:ascii="Arial" w:cs="Arial" w:eastAsia="Arial" w:hAnsi="Arial"/>
          <w:b/>
          <w:bCs/>
          <w:color w:val="2196A6"/>
          <w:sz w:val="24"/>
          <w:szCs w:val="24"/>
        </w:rPr>
        <w:t xml:space="preserve">Rationale</w:t>
      </w:r>
    </w:p>
    <w:p>
      <w:pPr>
        <w:spacing w:before="60" w:after="100"/>
      </w:pPr>
      <w:r>
        <w:rPr>
          <w:rFonts w:ascii="Arial" w:cs="Arial" w:eastAsia="Arial" w:hAnsi="Arial"/>
          <w:b w:val="false"/>
          <w:bCs w:val="false"/>
          <w:i w:val="false"/>
          <w:iCs w:val="false"/>
          <w:color w:val="404040"/>
          <w:sz w:val="22"/>
          <w:szCs w:val="22"/>
        </w:rPr>
        <w:t xml:space="preserve">AD is a clinically and biologically heterogeneous disease. Recent work (Hou et al., 2026, Alzheimer's &amp; Dementia) used CSF proteomics to identify three molecularly distinct AD subtypes with different progression rates. The full plasma proteome — including both the 260 well-detected proteins and the sparse proteins — may enable subtyping at the blood-based level, which would be far more accessible for clinical use.</w:t>
      </w:r>
    </w:p>
    <w:p>
      <w:pPr>
        <w:spacing w:before="60" w:after="100"/>
      </w:pPr>
      <w:r>
        <w:rPr>
          <w:rFonts w:ascii="Arial" w:cs="Arial" w:eastAsia="Arial" w:hAnsi="Arial"/>
          <w:b w:val="false"/>
          <w:bCs w:val="false"/>
          <w:i w:val="false"/>
          <w:iCs w:val="false"/>
          <w:color w:val="404040"/>
          <w:sz w:val="22"/>
          <w:szCs w:val="22"/>
        </w:rPr>
        <w:t xml:space="preserve">Our preliminary analysis shows striking per-patient variation: patient P17 had 910 proteins detected while P2 had only 448, compared to a much tighter control range of 531–679. This variability is not random — it likely reflects underlying biological heterogeneity in disease state, inflammation load, or concurrent pathologies.</w:t>
      </w:r>
    </w:p>
    <w:p>
      <w:pPr>
        <w:pStyle w:val="Heading3"/>
        <w:spacing w:before="180" w:after="80"/>
      </w:pPr>
      <w:r>
        <w:rPr>
          <w:rFonts w:ascii="Arial" w:cs="Arial" w:eastAsia="Arial" w:hAnsi="Arial"/>
          <w:b/>
          <w:bCs/>
          <w:color w:val="2196A6"/>
          <w:sz w:val="24"/>
          <w:szCs w:val="24"/>
        </w:rPr>
        <w:t xml:space="preserve">Proposed Approach</w:t>
      </w:r>
    </w:p>
    <w:p>
      <w:pPr>
        <w:pStyle w:val="ListParagraph"/>
        <w:numPr>
          <w:ilvl w:val="0"/>
          <w:numId w:val="3"/>
        </w:numPr>
        <w:spacing w:before="40" w:after="60"/>
      </w:pPr>
      <w:r>
        <w:rPr>
          <w:rFonts w:ascii="Arial" w:cs="Arial" w:eastAsia="Arial" w:hAnsi="Arial"/>
          <w:b w:val="false"/>
          <w:bCs w:val="false"/>
          <w:color w:val="404040"/>
          <w:sz w:val="22"/>
          <w:szCs w:val="22"/>
        </w:rPr>
        <w:t xml:space="preserve">Create a combined feature matrix using: (a) quantitative values for the 260 core proteins; (b) binary detection indicators for all sparse proteins; (c) per-patient summary statistics (total detected proteins, detection rate by pathway category).</w:t>
      </w:r>
    </w:p>
    <w:p>
      <w:pPr>
        <w:pStyle w:val="ListParagraph"/>
        <w:numPr>
          <w:ilvl w:val="0"/>
          <w:numId w:val="3"/>
        </w:numPr>
        <w:spacing w:before="40" w:after="60"/>
      </w:pPr>
      <w:r>
        <w:rPr>
          <w:rFonts w:ascii="Arial" w:cs="Arial" w:eastAsia="Arial" w:hAnsi="Arial"/>
          <w:b w:val="false"/>
          <w:bCs w:val="false"/>
          <w:color w:val="404040"/>
          <w:sz w:val="22"/>
          <w:szCs w:val="22"/>
        </w:rPr>
        <w:t xml:space="preserve">Apply dimensionality reduction (UMAP or t-SNE) followed by unsupervised clustering (k-means, hierarchical, or Leiden) to identify patient subgroups within the AD cohort.</w:t>
      </w:r>
    </w:p>
    <w:p>
      <w:pPr>
        <w:pStyle w:val="ListParagraph"/>
        <w:numPr>
          <w:ilvl w:val="0"/>
          <w:numId w:val="3"/>
        </w:numPr>
        <w:spacing w:before="40" w:after="60"/>
      </w:pPr>
      <w:r>
        <w:rPr>
          <w:rFonts w:ascii="Arial" w:cs="Arial" w:eastAsia="Arial" w:hAnsi="Arial"/>
          <w:b w:val="false"/>
          <w:bCs w:val="false"/>
          <w:color w:val="404040"/>
          <w:sz w:val="22"/>
          <w:szCs w:val="22"/>
        </w:rPr>
        <w:t xml:space="preserve">Characterize each subgroup by: differential protein expression (quantitative), differential detection patterns (binary), enriched biological pathways, and clinical metadata if available (age, MMSE, imaging markers).</w:t>
      </w:r>
    </w:p>
    <w:p>
      <w:pPr>
        <w:pStyle w:val="ListParagraph"/>
        <w:numPr>
          <w:ilvl w:val="0"/>
          <w:numId w:val="3"/>
        </w:numPr>
        <w:spacing w:before="40" w:after="60"/>
      </w:pPr>
      <w:r>
        <w:rPr>
          <w:rFonts w:ascii="Arial" w:cs="Arial" w:eastAsia="Arial" w:hAnsi="Arial"/>
          <w:b w:val="false"/>
          <w:bCs w:val="false"/>
          <w:color w:val="404040"/>
          <w:sz w:val="22"/>
          <w:szCs w:val="22"/>
        </w:rPr>
        <w:t xml:space="preserve">Assess whether subgroups differ in the proteins identified in Aim 1 (sparse differentially-detected proteins), connecting the two aims.</w:t>
      </w:r>
    </w:p>
    <w:p>
      <w:pPr>
        <w:pStyle w:val="ListParagraph"/>
        <w:numPr>
          <w:ilvl w:val="0"/>
          <w:numId w:val="3"/>
        </w:numPr>
        <w:spacing w:before="40" w:after="60"/>
      </w:pPr>
      <w:r>
        <w:rPr>
          <w:rFonts w:ascii="Arial" w:cs="Arial" w:eastAsia="Arial" w:hAnsi="Arial"/>
          <w:b w:val="false"/>
          <w:bCs w:val="false"/>
          <w:color w:val="404040"/>
          <w:sz w:val="22"/>
          <w:szCs w:val="22"/>
        </w:rPr>
        <w:t xml:space="preserve">Evaluate subgroup stability with bootstrap resampling (n = 1,000) and cross-validate against external AD proteomic cohorts (Indiana ADRC dataset used in the original paper if available, or ADNI proteomics data).</w:t>
      </w:r>
    </w:p>
    <w:p>
      <w:pPr>
        <w:pStyle w:val="Heading3"/>
        <w:spacing w:before="180" w:after="80"/>
      </w:pPr>
      <w:r>
        <w:rPr>
          <w:rFonts w:ascii="Arial" w:cs="Arial" w:eastAsia="Arial" w:hAnsi="Arial"/>
          <w:b/>
          <w:bCs/>
          <w:color w:val="2196A6"/>
          <w:sz w:val="24"/>
          <w:szCs w:val="24"/>
        </w:rPr>
        <w:t xml:space="preserve">Key Hypothesis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196A6" w:sz="24"/>
              <w:bottom w:val="single" w:color="2E75B6" w:sz="4"/>
              <w:right w:val="none" w:color="FFFFFF" w:sz="0"/>
            </w:tcBorders>
            <w:shd w:fill="E8F5E9" w:val="clear"/>
            <w:tcMar>
              <w:top w:type="dxa" w:w="120"/>
              <w:left w:type="dxa" w:w="200"/>
              <w:bottom w:type="dxa" w:w="120"/>
              <w:right w:type="dxa" w:w="120"/>
            </w:tcMar>
          </w:tcPr>
          <w:p>
            <w:pPr>
              <w:spacing w:before="0" w:after="60"/>
            </w:pPr>
            <w:r>
              <w:rPr>
                <w:rFonts w:ascii="Arial" w:cs="Arial" w:eastAsia="Arial" w:hAnsi="Arial"/>
                <w:b/>
                <w:bCs/>
                <w:color w:val="1F4E79"/>
                <w:sz w:val="22"/>
                <w:szCs w:val="22"/>
              </w:rPr>
              <w:t xml:space="preserve">Hypothesis 2</w:t>
            </w:r>
          </w:p>
          <w:p>
            <w:pPr>
              <w:spacing w:before="0" w:after="0"/>
            </w:pPr>
            <w:r>
              <w:rPr>
                <w:rFonts w:ascii="Arial" w:cs="Arial" w:eastAsia="Arial" w:hAnsi="Arial"/>
                <w:color w:val="404040"/>
                <w:sz w:val="22"/>
                <w:szCs w:val="22"/>
              </w:rPr>
              <w:t xml:space="preserve">AD patients with high sparse protein detection (e.g., P17 with 910 proteins) represent a distinct biological subtype characterized by elevated systemic inflammation and complement activation, compared to patients with low sparse detection (e.g., P2 with 448 proteins) who may represent a more 'quiet' neurodegeneration phenotype. These subtypes would have different prognosis and potentially different therapeutic targets.</w:t>
            </w:r>
          </w:p>
        </w:tc>
      </w:tr>
    </w:tbl>
    <w:p>
      <w:r>
        <w:t xml:space="preserve"/>
      </w:r>
    </w:p>
    <w:p>
      <w:pPr>
        <w:pStyle w:val="Heading3"/>
        <w:spacing w:before="180" w:after="80"/>
      </w:pPr>
      <w:r>
        <w:rPr>
          <w:rFonts w:ascii="Arial" w:cs="Arial" w:eastAsia="Arial" w:hAnsi="Arial"/>
          <w:b/>
          <w:bCs/>
          <w:color w:val="2196A6"/>
          <w:sz w:val="24"/>
          <w:szCs w:val="24"/>
        </w:rPr>
        <w:t xml:space="preserve">Expected Outputs</w:t>
      </w:r>
    </w:p>
    <w:p>
      <w:pPr>
        <w:pStyle w:val="ListParagraph"/>
        <w:numPr>
          <w:ilvl w:val="0"/>
          <w:numId w:val="2"/>
        </w:numPr>
        <w:spacing w:before="40" w:after="60"/>
      </w:pPr>
      <w:r>
        <w:rPr>
          <w:rFonts w:ascii="Arial" w:cs="Arial" w:eastAsia="Arial" w:hAnsi="Arial"/>
          <w:b w:val="false"/>
          <w:bCs w:val="false"/>
          <w:color w:val="404040"/>
          <w:sz w:val="22"/>
          <w:szCs w:val="22"/>
        </w:rPr>
        <w:t xml:space="preserve">2–4 molecularly defined AD patient subgroups based on the full proteome</w:t>
      </w:r>
    </w:p>
    <w:p>
      <w:pPr>
        <w:pStyle w:val="ListParagraph"/>
        <w:numPr>
          <w:ilvl w:val="0"/>
          <w:numId w:val="2"/>
        </w:numPr>
        <w:spacing w:before="40" w:after="60"/>
      </w:pPr>
      <w:r>
        <w:rPr>
          <w:rFonts w:ascii="Arial" w:cs="Arial" w:eastAsia="Arial" w:hAnsi="Arial"/>
          <w:b w:val="false"/>
          <w:bCs w:val="false"/>
          <w:color w:val="404040"/>
          <w:sz w:val="22"/>
          <w:szCs w:val="22"/>
        </w:rPr>
        <w:t xml:space="preserve">Subgroup-specific protein signatures and pathway enrichments</w:t>
      </w:r>
    </w:p>
    <w:p>
      <w:pPr>
        <w:pStyle w:val="ListParagraph"/>
        <w:numPr>
          <w:ilvl w:val="0"/>
          <w:numId w:val="2"/>
        </w:numPr>
        <w:spacing w:before="40" w:after="60"/>
      </w:pPr>
      <w:r>
        <w:rPr>
          <w:rFonts w:ascii="Arial" w:cs="Arial" w:eastAsia="Arial" w:hAnsi="Arial"/>
          <w:b w:val="false"/>
          <w:bCs w:val="false"/>
          <w:color w:val="404040"/>
          <w:sz w:val="22"/>
          <w:szCs w:val="22"/>
        </w:rPr>
        <w:t xml:space="preserve">A patient classification framework applicable to future blood-based proteomics datasets</w:t>
      </w:r>
    </w:p>
    <w:p>
      <w:pPr>
        <w:pStyle w:val="ListParagraph"/>
        <w:numPr>
          <w:ilvl w:val="0"/>
          <w:numId w:val="2"/>
        </w:numPr>
        <w:spacing w:before="40" w:after="60"/>
      </w:pPr>
      <w:r>
        <w:rPr>
          <w:rFonts w:ascii="Arial" w:cs="Arial" w:eastAsia="Arial" w:hAnsi="Arial"/>
          <w:b w:val="false"/>
          <w:bCs w:val="false"/>
          <w:color w:val="404040"/>
          <w:sz w:val="22"/>
          <w:szCs w:val="22"/>
        </w:rPr>
        <w:t xml:space="preserve">If clinical data is available: correlation of subtypes with cognitive decline trajectory, imaging biomarkers, and conversion rates</w:t>
      </w:r>
    </w:p>
    <w:p>
      <w:pPr>
        <w:pStyle w:val="Heading2"/>
        <w:spacing w:before="240" w:after="120"/>
      </w:pPr>
      <w:r>
        <w:rPr>
          <w:rFonts w:ascii="Arial" w:cs="Arial" w:eastAsia="Arial" w:hAnsi="Arial"/>
          <w:b/>
          <w:bCs/>
          <w:color w:val="2E75B6"/>
          <w:sz w:val="26"/>
          <w:szCs w:val="26"/>
        </w:rPr>
        <w:t xml:space="preserve">Aim 3: Plasma Immunoglobulin Repertoire Patterns as a Neuroinflammation Proxy</w:t>
      </w:r>
    </w:p>
    <w:p>
      <w:pPr>
        <w:pStyle w:val="Heading3"/>
        <w:spacing w:before="180" w:after="80"/>
      </w:pPr>
      <w:r>
        <w:rPr>
          <w:rFonts w:ascii="Arial" w:cs="Arial" w:eastAsia="Arial" w:hAnsi="Arial"/>
          <w:b/>
          <w:bCs/>
          <w:color w:val="2196A6"/>
          <w:sz w:val="24"/>
          <w:szCs w:val="24"/>
        </w:rPr>
        <w:t xml:space="preserve">Rationale</w:t>
      </w:r>
    </w:p>
    <w:p>
      <w:pPr>
        <w:spacing w:before="60" w:after="100"/>
      </w:pPr>
      <w:r>
        <w:rPr>
          <w:rFonts w:ascii="Arial" w:cs="Arial" w:eastAsia="Arial" w:hAnsi="Arial"/>
          <w:b w:val="false"/>
          <w:bCs w:val="false"/>
          <w:i w:val="false"/>
          <w:iCs w:val="false"/>
          <w:color w:val="404040"/>
          <w:sz w:val="22"/>
          <w:szCs w:val="22"/>
        </w:rPr>
        <w:t xml:space="preserve">A striking and unexpected feature of the full dataset is the large number of immunoglobulin (Ig) peptides detected — spanning heavy chains (IGHV), lambda light chains (IGLV), and kappa light chains (IGKV). The dataset contains hundreds of distinct Ig peptide sequences, each representing a specific V(D)J recombination product. The pattern of which Ig clonotypes are detectable in plasma directly reflects the peripheral B-cell repertoire and humoral immune state.</w:t>
      </w:r>
    </w:p>
    <w:p>
      <w:pPr>
        <w:spacing w:before="60" w:after="100"/>
      </w:pPr>
      <w:r>
        <w:rPr>
          <w:rFonts w:ascii="Arial" w:cs="Arial" w:eastAsia="Arial" w:hAnsi="Arial"/>
          <w:b w:val="false"/>
          <w:bCs w:val="false"/>
          <w:i w:val="false"/>
          <w:iCs w:val="false"/>
          <w:color w:val="404040"/>
          <w:sz w:val="22"/>
          <w:szCs w:val="22"/>
        </w:rPr>
        <w:t xml:space="preserve">In AD, there is growing evidence of altered B-cell activity, intrathecal immunoglobulin production, and autoantibodies against neuronal antigens. Our dataset shows that controls are preferentially enriched for certain Ig subtypes (e.g., IGLV8-61, IGLV4-69 clonotypes detected in 7–8/10 controls vs. 3–6/20 patients), while patients are enriched for others (IGLV1-51, IGKV1D-33). This represents a completely unexplored dimension of the data.</w:t>
      </w:r>
    </w:p>
    <w:p>
      <w:pPr>
        <w:pStyle w:val="Heading3"/>
        <w:spacing w:before="180" w:after="80"/>
      </w:pPr>
      <w:r>
        <w:rPr>
          <w:rFonts w:ascii="Arial" w:cs="Arial" w:eastAsia="Arial" w:hAnsi="Arial"/>
          <w:b/>
          <w:bCs/>
          <w:color w:val="2196A6"/>
          <w:sz w:val="24"/>
          <w:szCs w:val="24"/>
        </w:rPr>
        <w:t xml:space="preserve">Proposed Approach</w:t>
      </w:r>
    </w:p>
    <w:p>
      <w:pPr>
        <w:pStyle w:val="ListParagraph"/>
        <w:numPr>
          <w:ilvl w:val="0"/>
          <w:numId w:val="3"/>
        </w:numPr>
        <w:spacing w:before="40" w:after="60"/>
      </w:pPr>
      <w:r>
        <w:rPr>
          <w:rFonts w:ascii="Arial" w:cs="Arial" w:eastAsia="Arial" w:hAnsi="Arial"/>
          <w:b w:val="false"/>
          <w:bCs w:val="false"/>
          <w:color w:val="404040"/>
          <w:sz w:val="22"/>
          <w:szCs w:val="22"/>
        </w:rPr>
        <w:t xml:space="preserve">Extract all Ig peptide identifications from the full 5,410-protein list and classify by: chain type (IgG heavy, lambda, kappa), V-gene family (IGHV1–7, IGLV1–8, IGKV1–6), and CDR3 region where inferable from peptide sequence.</w:t>
      </w:r>
    </w:p>
    <w:p>
      <w:pPr>
        <w:pStyle w:val="ListParagraph"/>
        <w:numPr>
          <w:ilvl w:val="0"/>
          <w:numId w:val="3"/>
        </w:numPr>
        <w:spacing w:before="40" w:after="60"/>
      </w:pPr>
      <w:r>
        <w:rPr>
          <w:rFonts w:ascii="Arial" w:cs="Arial" w:eastAsia="Arial" w:hAnsi="Arial"/>
          <w:b w:val="false"/>
          <w:bCs w:val="false"/>
          <w:color w:val="404040"/>
          <w:sz w:val="22"/>
          <w:szCs w:val="22"/>
        </w:rPr>
        <w:t xml:space="preserve">Construct a 'repertoire matrix' where each row is a sample and each column is an Ig V-gene family. Values are: (a) binary detection of any peptide from that family, and (b) count of distinct peptides from that family.</w:t>
      </w:r>
    </w:p>
    <w:p>
      <w:pPr>
        <w:pStyle w:val="ListParagraph"/>
        <w:numPr>
          <w:ilvl w:val="0"/>
          <w:numId w:val="3"/>
        </w:numPr>
        <w:spacing w:before="40" w:after="60"/>
      </w:pPr>
      <w:r>
        <w:rPr>
          <w:rFonts w:ascii="Arial" w:cs="Arial" w:eastAsia="Arial" w:hAnsi="Arial"/>
          <w:b w:val="false"/>
          <w:bCs w:val="false"/>
          <w:color w:val="404040"/>
          <w:sz w:val="22"/>
          <w:szCs w:val="22"/>
        </w:rPr>
        <w:t xml:space="preserve">Apply diversity metrics (Shannon entropy, Simpson index) to compare overall Ig repertoire breadth and evenness between AD patients and controls.</w:t>
      </w:r>
    </w:p>
    <w:p>
      <w:pPr>
        <w:pStyle w:val="ListParagraph"/>
        <w:numPr>
          <w:ilvl w:val="0"/>
          <w:numId w:val="3"/>
        </w:numPr>
        <w:spacing w:before="40" w:after="60"/>
      </w:pPr>
      <w:r>
        <w:rPr>
          <w:rFonts w:ascii="Arial" w:cs="Arial" w:eastAsia="Arial" w:hAnsi="Arial"/>
          <w:b w:val="false"/>
          <w:bCs w:val="false"/>
          <w:color w:val="404040"/>
          <w:sz w:val="22"/>
          <w:szCs w:val="22"/>
        </w:rPr>
        <w:t xml:space="preserve">Test whether specific V-gene family usage patterns (Ig subtype biases) correlate with: AD diagnosis, core protein biomarker levels (C7, ATIII from the original paper), and the sparse inflammatory markers identified in Aim 1 (SAA, Ceruloplasmin, PRDX2).</w:t>
      </w:r>
    </w:p>
    <w:p>
      <w:pPr>
        <w:pStyle w:val="ListParagraph"/>
        <w:numPr>
          <w:ilvl w:val="0"/>
          <w:numId w:val="3"/>
        </w:numPr>
        <w:spacing w:before="40" w:after="60"/>
      </w:pPr>
      <w:r>
        <w:rPr>
          <w:rFonts w:ascii="Arial" w:cs="Arial" w:eastAsia="Arial" w:hAnsi="Arial"/>
          <w:b w:val="false"/>
          <w:bCs w:val="false"/>
          <w:color w:val="404040"/>
          <w:sz w:val="22"/>
          <w:szCs w:val="22"/>
        </w:rPr>
        <w:t xml:space="preserve">Integrate with published AD immune profiling data (e.g., B-cell receptor sequencing studies in AD, CSF Ig studies) to contextualize the plasma Ig patterns.</w:t>
      </w:r>
    </w:p>
    <w:p>
      <w:pPr>
        <w:pStyle w:val="Heading3"/>
        <w:spacing w:before="180" w:after="80"/>
      </w:pPr>
      <w:r>
        <w:rPr>
          <w:rFonts w:ascii="Arial" w:cs="Arial" w:eastAsia="Arial" w:hAnsi="Arial"/>
          <w:b/>
          <w:bCs/>
          <w:color w:val="2196A6"/>
          <w:sz w:val="24"/>
          <w:szCs w:val="24"/>
        </w:rPr>
        <w:t xml:space="preserve">Key Preliminary Finding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196A6" w:sz="24"/>
              <w:bottom w:val="single" w:color="2E75B6" w:sz="4"/>
              <w:right w:val="none" w:color="FFFFFF" w:sz="0"/>
            </w:tcBorders>
            <w:shd w:fill="FFF3E0" w:val="clear"/>
            <w:tcMar>
              <w:top w:type="dxa" w:w="120"/>
              <w:left w:type="dxa" w:w="200"/>
              <w:bottom w:type="dxa" w:w="120"/>
              <w:right w:type="dxa" w:w="120"/>
            </w:tcMar>
          </w:tcPr>
          <w:p>
            <w:pPr>
              <w:spacing w:before="0" w:after="60"/>
            </w:pPr>
            <w:r>
              <w:rPr>
                <w:rFonts w:ascii="Arial" w:cs="Arial" w:eastAsia="Arial" w:hAnsi="Arial"/>
                <w:b/>
                <w:bCs/>
                <w:color w:val="1F4E79"/>
                <w:sz w:val="22"/>
                <w:szCs w:val="22"/>
              </w:rPr>
              <w:t xml:space="preserve">Differential Ig Clonotype Detection — Pilot Data</w:t>
            </w:r>
          </w:p>
          <w:p>
            <w:pPr>
              <w:spacing w:before="0" w:after="0"/>
            </w:pPr>
            <w:r>
              <w:rPr>
                <w:rFonts w:ascii="Arial" w:cs="Arial" w:eastAsia="Arial" w:hAnsi="Arial"/>
                <w:color w:val="404040"/>
                <w:sz w:val="22"/>
                <w:szCs w:val="22"/>
              </w:rPr>
              <w:t xml:space="preserve">Thyroxine-binding globulin (a thyroid protein, not an Ig) aside, the most striking differential detections include IGLV8-61 clonotypes: 6/10 controls vs. 6/20 patients detected (OR = 0.11, p = 0.019). Conversely, IGLV1-51 clonotypes were detected in 10/20 patients but 0/10 controls. This suggests a systematic shift in the circulating Ig repertoire in AD — either reflecting different humoral immune responses, autoantibody production, or changes in B-cell clonal expansion.</w:t>
            </w:r>
          </w:p>
        </w:tc>
      </w:tr>
    </w:tbl>
    <w:p>
      <w:r>
        <w:t xml:space="preserve"/>
      </w:r>
    </w:p>
    <w:p>
      <w:pPr>
        <w:pStyle w:val="Heading3"/>
        <w:spacing w:before="180" w:after="80"/>
      </w:pPr>
      <w:r>
        <w:rPr>
          <w:rFonts w:ascii="Arial" w:cs="Arial" w:eastAsia="Arial" w:hAnsi="Arial"/>
          <w:b/>
          <w:bCs/>
          <w:color w:val="2196A6"/>
          <w:sz w:val="24"/>
          <w:szCs w:val="24"/>
        </w:rPr>
        <w:t xml:space="preserve">Expected Outputs</w:t>
      </w:r>
    </w:p>
    <w:p>
      <w:pPr>
        <w:pStyle w:val="ListParagraph"/>
        <w:numPr>
          <w:ilvl w:val="0"/>
          <w:numId w:val="2"/>
        </w:numPr>
        <w:spacing w:before="40" w:after="60"/>
      </w:pPr>
      <w:r>
        <w:rPr>
          <w:rFonts w:ascii="Arial" w:cs="Arial" w:eastAsia="Arial" w:hAnsi="Arial"/>
          <w:b w:val="false"/>
          <w:bCs w:val="false"/>
          <w:color w:val="404040"/>
          <w:sz w:val="22"/>
          <w:szCs w:val="22"/>
        </w:rPr>
        <w:t xml:space="preserve">Characterization of the plasma Ig V-gene repertoire in AD patients vs. controls</w:t>
      </w:r>
    </w:p>
    <w:p>
      <w:pPr>
        <w:pStyle w:val="ListParagraph"/>
        <w:numPr>
          <w:ilvl w:val="0"/>
          <w:numId w:val="2"/>
        </w:numPr>
        <w:spacing w:before="40" w:after="60"/>
      </w:pPr>
      <w:r>
        <w:rPr>
          <w:rFonts w:ascii="Arial" w:cs="Arial" w:eastAsia="Arial" w:hAnsi="Arial"/>
          <w:b w:val="false"/>
          <w:bCs w:val="false"/>
          <w:color w:val="404040"/>
          <w:sz w:val="22"/>
          <w:szCs w:val="22"/>
        </w:rPr>
        <w:t xml:space="preserve">Identification of AD-associated Ig subtype enrichments and depletions</w:t>
      </w:r>
    </w:p>
    <w:p>
      <w:pPr>
        <w:pStyle w:val="ListParagraph"/>
        <w:numPr>
          <w:ilvl w:val="0"/>
          <w:numId w:val="2"/>
        </w:numPr>
        <w:spacing w:before="40" w:after="60"/>
      </w:pPr>
      <w:r>
        <w:rPr>
          <w:rFonts w:ascii="Arial" w:cs="Arial" w:eastAsia="Arial" w:hAnsi="Arial"/>
          <w:b w:val="false"/>
          <w:bCs w:val="false"/>
          <w:color w:val="404040"/>
          <w:sz w:val="22"/>
          <w:szCs w:val="22"/>
        </w:rPr>
        <w:t xml:space="preserve">Diversity metrics quantifying repertoire differences between groups</w:t>
      </w:r>
    </w:p>
    <w:p>
      <w:pPr>
        <w:pStyle w:val="ListParagraph"/>
        <w:numPr>
          <w:ilvl w:val="0"/>
          <w:numId w:val="2"/>
        </w:numPr>
        <w:spacing w:before="40" w:after="60"/>
      </w:pPr>
      <w:r>
        <w:rPr>
          <w:rFonts w:ascii="Arial" w:cs="Arial" w:eastAsia="Arial" w:hAnsi="Arial"/>
          <w:b w:val="false"/>
          <w:bCs w:val="false"/>
          <w:color w:val="404040"/>
          <w:sz w:val="22"/>
          <w:szCs w:val="22"/>
        </w:rPr>
        <w:t xml:space="preserve">Correlation matrix linking Ig patterns to core AD protein biomarkers</w:t>
      </w:r>
    </w:p>
    <w:p>
      <w:pPr>
        <w:pStyle w:val="ListParagraph"/>
        <w:numPr>
          <w:ilvl w:val="0"/>
          <w:numId w:val="2"/>
        </w:numPr>
        <w:spacing w:before="40" w:after="60"/>
      </w:pPr>
      <w:r>
        <w:rPr>
          <w:rFonts w:ascii="Arial" w:cs="Arial" w:eastAsia="Arial" w:hAnsi="Arial"/>
          <w:b w:val="false"/>
          <w:bCs w:val="false"/>
          <w:color w:val="404040"/>
          <w:sz w:val="22"/>
          <w:szCs w:val="22"/>
        </w:rPr>
        <w:t xml:space="preserve">A novel 'immune repertoire score' derived from Ig detection patterns, evaluated as a potential AD biomarker</w:t>
      </w:r>
    </w:p>
    <w:p>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3. Innovation and Significance</w:t>
      </w:r>
    </w:p>
    <w:p>
      <w:pPr>
        <w:pStyle w:val="Heading2"/>
        <w:spacing w:before="240" w:after="120"/>
      </w:pPr>
      <w:r>
        <w:rPr>
          <w:rFonts w:ascii="Arial" w:cs="Arial" w:eastAsia="Arial" w:hAnsi="Arial"/>
          <w:b/>
          <w:bCs/>
          <w:color w:val="2E75B6"/>
          <w:sz w:val="26"/>
          <w:szCs w:val="26"/>
        </w:rPr>
        <w:t xml:space="preserve">3.1 Why This Extends, Not Replaces, the Original Work</w:t>
      </w:r>
    </w:p>
    <w:p>
      <w:pPr>
        <w:spacing w:before="60" w:after="100"/>
      </w:pPr>
      <w:r>
        <w:rPr>
          <w:rFonts w:ascii="Arial" w:cs="Arial" w:eastAsia="Arial" w:hAnsi="Arial"/>
          <w:b w:val="false"/>
          <w:bCs w:val="false"/>
          <w:i w:val="false"/>
          <w:iCs w:val="false"/>
          <w:color w:val="404040"/>
          <w:sz w:val="22"/>
          <w:szCs w:val="22"/>
        </w:rPr>
        <w:t xml:space="preserve">The original study's contribution — identifying complement and coagulation pathway dysregulation as longitudinal AD signatures — remains valid and important. This proposal extends that work by:</w:t>
      </w:r>
    </w:p>
    <w:p>
      <w:pPr>
        <w:pStyle w:val="ListParagraph"/>
        <w:numPr>
          <w:ilvl w:val="0"/>
          <w:numId w:val="2"/>
        </w:numPr>
        <w:spacing w:before="40" w:after="60"/>
      </w:pPr>
      <w:r>
        <w:rPr>
          <w:rFonts w:ascii="Arial" w:cs="Arial" w:eastAsia="Arial" w:hAnsi="Arial"/>
          <w:b w:val="false"/>
          <w:bCs w:val="false"/>
          <w:color w:val="404040"/>
          <w:sz w:val="22"/>
          <w:szCs w:val="22"/>
        </w:rPr>
        <w:t xml:space="preserve">Demonstrating that the proteins excluded by the 50% detection threshold form a biologically coherent and AD-relevant layer of the proteome, not noise</w:t>
      </w:r>
    </w:p>
    <w:p>
      <w:pPr>
        <w:pStyle w:val="ListParagraph"/>
        <w:numPr>
          <w:ilvl w:val="0"/>
          <w:numId w:val="2"/>
        </w:numPr>
        <w:spacing w:before="40" w:after="60"/>
      </w:pPr>
      <w:r>
        <w:rPr>
          <w:rFonts w:ascii="Arial" w:cs="Arial" w:eastAsia="Arial" w:hAnsi="Arial"/>
          <w:b w:val="false"/>
          <w:bCs w:val="false"/>
          <w:color w:val="404040"/>
          <w:sz w:val="22"/>
          <w:szCs w:val="22"/>
        </w:rPr>
        <w:t xml:space="preserve">Adding three new analytical dimensions (sparse differential detection, patient subtyping, Ig repertoire) that are orthogonal to the quantitative abundance analysis of the original paper</w:t>
      </w:r>
    </w:p>
    <w:p>
      <w:pPr>
        <w:pStyle w:val="ListParagraph"/>
        <w:numPr>
          <w:ilvl w:val="0"/>
          <w:numId w:val="2"/>
        </w:numPr>
        <w:spacing w:before="40" w:after="60"/>
      </w:pPr>
      <w:r>
        <w:rPr>
          <w:rFonts w:ascii="Arial" w:cs="Arial" w:eastAsia="Arial" w:hAnsi="Arial"/>
          <w:b w:val="false"/>
          <w:bCs w:val="false"/>
          <w:color w:val="404040"/>
          <w:sz w:val="22"/>
          <w:szCs w:val="22"/>
        </w:rPr>
        <w:t xml:space="preserve">Providing a methodological framework for how future plasma proteomics studies should handle sparse, high-dynamic-range data</w:t>
      </w:r>
    </w:p>
    <w:p>
      <w:pPr>
        <w:pStyle w:val="Heading2"/>
        <w:spacing w:before="240" w:after="120"/>
      </w:pPr>
      <w:r>
        <w:rPr>
          <w:rFonts w:ascii="Arial" w:cs="Arial" w:eastAsia="Arial" w:hAnsi="Arial"/>
          <w:b/>
          <w:bCs/>
          <w:color w:val="2E75B6"/>
          <w:sz w:val="26"/>
          <w:szCs w:val="26"/>
        </w:rPr>
        <w:t xml:space="preserve">3.2 Conceptual Innovation</w:t>
      </w:r>
    </w:p>
    <w:p>
      <w:pPr>
        <w:spacing w:before="60" w:after="100"/>
      </w:pPr>
      <w:r>
        <w:rPr>
          <w:rFonts w:ascii="Arial" w:cs="Arial" w:eastAsia="Arial" w:hAnsi="Arial"/>
          <w:b w:val="false"/>
          <w:bCs w:val="false"/>
          <w:i w:val="false"/>
          <w:iCs w:val="false"/>
          <w:color w:val="404040"/>
          <w:sz w:val="22"/>
          <w:szCs w:val="22"/>
        </w:rPr>
        <w:t xml:space="preserve">The core conceptual innovation is treating missingness as signal rather than error. In plasma proteomics, low-abundance proteins are detected stochastically — but their detection in a disease state reflects real biology: protein shedding from damaged neurons, complement activation byproducts entering circulation, immune cell secretion, and platelet degranulation. By modeling detection as a binary outcome and analyzing co-detection networks, we recover biological information that quantitative imputation methods discard.</w:t>
      </w:r>
    </w:p>
    <w:p>
      <w:pPr>
        <w:pStyle w:val="Heading2"/>
        <w:spacing w:before="240" w:after="120"/>
      </w:pPr>
      <w:r>
        <w:rPr>
          <w:rFonts w:ascii="Arial" w:cs="Arial" w:eastAsia="Arial" w:hAnsi="Arial"/>
          <w:b/>
          <w:bCs/>
          <w:color w:val="2E75B6"/>
          <w:sz w:val="26"/>
          <w:szCs w:val="26"/>
        </w:rPr>
        <w:t xml:space="preserve">3.3 Clinical Significance</w:t>
      </w:r>
    </w:p>
    <w:p>
      <w:pPr>
        <w:spacing w:before="60" w:after="100"/>
      </w:pPr>
      <w:r>
        <w:rPr>
          <w:rFonts w:ascii="Arial" w:cs="Arial" w:eastAsia="Arial" w:hAnsi="Arial"/>
          <w:b w:val="false"/>
          <w:bCs w:val="false"/>
          <w:i w:val="false"/>
          <w:iCs w:val="false"/>
          <w:color w:val="404040"/>
          <w:sz w:val="22"/>
          <w:szCs w:val="22"/>
        </w:rPr>
        <w:t xml:space="preserve">If Aims 1 and 3 identify sparse protein signatures or Ig patterns that distinguish AD patients from controls, these represent candidates for targeted panel development. Unlike comprehensive mass spectrometry-based proteomics, targeted panels for specific low-abundance proteins (e.g., SAA isoforms, Ceruloplasmin, PRDX2) can be developed as clinical ELISA or MRM-MS assays at much lower cost. This could extend the clinical translational impact of the original cohort study.</w:t>
      </w:r>
    </w:p>
    <w:p>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4. Methods Overview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880"/>
        <w:gridCol w:w="288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Aim</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Used</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Method</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14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Aim 1: Sparse Proteome</w:t>
            </w:r>
          </w:p>
        </w:tc>
        <w:tc>
          <w:tcPr>
            <w:tcW w:type="dxa" w:w="2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1,505 sparse proteins
(10-50% detection)</w:t>
            </w:r>
          </w:p>
        </w:tc>
        <w:tc>
          <w:tcPr>
            <w:tcW w:type="dxa" w:w="28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Fisher's exact test + FDR
Co-detection network (Leiden)</w:t>
            </w:r>
          </w:p>
        </w:tc>
        <w:tc>
          <w:tcPr>
            <w:tcW w:type="dxa" w:w="28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External AD proteomics DBs;
GO/KEGG enrichment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Aim 2: Subtyping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5,410 proteins
(quantitative + binary)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UMAP + unsupervised clustering
Bootstrap stability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External cohort cross-validation;
clinical correlates</w:t>
            </w:r>
          </w:p>
        </w:tc>
      </w:tr>
      <w:tr>
        <w:tc>
          <w:tcPr>
            <w:tcW w:type="dxa" w:w="14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Aim 3: Ig Repertoire</w:t>
            </w:r>
          </w:p>
        </w:tc>
        <w:tc>
          <w:tcPr>
            <w:tcW w:type="dxa" w:w="2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All Ig peptides
(~400+ entries)</w:t>
            </w:r>
          </w:p>
        </w:tc>
        <w:tc>
          <w:tcPr>
            <w:tcW w:type="dxa" w:w="28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V-gene classification
Diversity indices + Fisher</w:t>
            </w:r>
          </w:p>
        </w:tc>
        <w:tc>
          <w:tcPr>
            <w:tcW w:type="dxa" w:w="28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Published B-cell repertoire
studies in AD</w:t>
            </w:r>
          </w:p>
        </w:tc>
      </w:tr>
    </w:tbl>
    <w:p>
      <w:r>
        <w:t xml:space="preserve"/>
      </w:r>
    </w:p>
    <w:p>
      <w:pPr>
        <w:pStyle w:val="Heading2"/>
        <w:spacing w:before="240" w:after="120"/>
      </w:pPr>
      <w:r>
        <w:rPr>
          <w:rFonts w:ascii="Arial" w:cs="Arial" w:eastAsia="Arial" w:hAnsi="Arial"/>
          <w:b/>
          <w:bCs/>
          <w:color w:val="2E75B6"/>
          <w:sz w:val="26"/>
          <w:szCs w:val="26"/>
        </w:rPr>
        <w:t xml:space="preserve">4.1 Statistical Framework</w:t>
      </w:r>
    </w:p>
    <w:p>
      <w:pPr>
        <w:spacing w:before="60" w:after="100"/>
      </w:pPr>
      <w:r>
        <w:rPr>
          <w:rFonts w:ascii="Arial" w:cs="Arial" w:eastAsia="Arial" w:hAnsi="Arial"/>
          <w:b w:val="false"/>
          <w:bCs w:val="false"/>
          <w:i w:val="false"/>
          <w:iCs w:val="false"/>
          <w:color w:val="404040"/>
          <w:sz w:val="22"/>
          <w:szCs w:val="22"/>
        </w:rPr>
        <w:t xml:space="preserve">For Aim 1, the primary test is Fisher's exact test with Benjamini-Hochberg FDR correction at q &lt; 0.10. Given the exploratory nature, we will also report unadjusted p-values and effect sizes (odds ratios with 95% CIs). The co-detection network analysis is inherently exploratory and will be evaluated by biological coherence (pathway enrichment) rather than formal hypothesis testing.</w:t>
      </w:r>
    </w:p>
    <w:p>
      <w:pPr>
        <w:spacing w:before="60" w:after="100"/>
      </w:pPr>
      <w:r>
        <w:rPr>
          <w:rFonts w:ascii="Arial" w:cs="Arial" w:eastAsia="Arial" w:hAnsi="Arial"/>
          <w:b w:val="false"/>
          <w:bCs w:val="false"/>
          <w:i w:val="false"/>
          <w:iCs w:val="false"/>
          <w:color w:val="404040"/>
          <w:sz w:val="22"/>
          <w:szCs w:val="22"/>
        </w:rPr>
        <w:t xml:space="preserve">For Aim 2, clustering quality will be assessed by silhouette scores and gap statistic. Stability across bootstrap resamplings (Jaccard index &gt; 0.75 considered stable) will determine the final number of subtypes.</w:t>
      </w:r>
    </w:p>
    <w:p>
      <w:pPr>
        <w:spacing w:before="60" w:after="100"/>
      </w:pPr>
      <w:r>
        <w:rPr>
          <w:rFonts w:ascii="Arial" w:cs="Arial" w:eastAsia="Arial" w:hAnsi="Arial"/>
          <w:b w:val="false"/>
          <w:bCs w:val="false"/>
          <w:i w:val="false"/>
          <w:iCs w:val="false"/>
          <w:color w:val="404040"/>
          <w:sz w:val="22"/>
          <w:szCs w:val="22"/>
        </w:rPr>
        <w:t xml:space="preserve">For Aim 3, Ig repertoire diversity will be compared using Mann-Whitney U tests on diversity indices. Correlation analysis between Ig patterns and biomarker levels will use Spearman's rho with FDR correction.</w:t>
      </w:r>
    </w:p>
    <w:p>
      <w:pPr>
        <w:pStyle w:val="Heading2"/>
        <w:spacing w:before="240" w:after="120"/>
      </w:pPr>
      <w:r>
        <w:rPr>
          <w:rFonts w:ascii="Arial" w:cs="Arial" w:eastAsia="Arial" w:hAnsi="Arial"/>
          <w:b/>
          <w:bCs/>
          <w:color w:val="2E75B6"/>
          <w:sz w:val="26"/>
          <w:szCs w:val="26"/>
        </w:rPr>
        <w:t xml:space="preserve">4.2 Limitations and Mitigations</w:t>
      </w:r>
    </w:p>
    <w:p>
      <w:pPr>
        <w:pStyle w:val="ListParagraph"/>
        <w:numPr>
          <w:ilvl w:val="0"/>
          <w:numId w:val="2"/>
        </w:numPr>
        <w:spacing w:before="40" w:after="60"/>
      </w:pPr>
      <w:r>
        <w:rPr>
          <w:rFonts w:ascii="Arial" w:cs="Arial" w:eastAsia="Arial" w:hAnsi="Arial"/>
          <w:b w:val="false"/>
          <w:bCs w:val="false"/>
          <w:color w:val="404040"/>
          <w:sz w:val="22"/>
          <w:szCs w:val="22"/>
        </w:rPr>
        <w:t xml:space="preserve">Small sample size (n=30): All analyses will be clearly labeled as hypothesis-generating. Claims will be supported by biological plausibility arguments and literature citations rather than standalone statistical significance.</w:t>
      </w:r>
    </w:p>
    <w:p>
      <w:pPr>
        <w:pStyle w:val="ListParagraph"/>
        <w:numPr>
          <w:ilvl w:val="0"/>
          <w:numId w:val="2"/>
        </w:numPr>
        <w:spacing w:before="40" w:after="60"/>
      </w:pPr>
      <w:r>
        <w:rPr>
          <w:rFonts w:ascii="Arial" w:cs="Arial" w:eastAsia="Arial" w:hAnsi="Arial"/>
          <w:b w:val="false"/>
          <w:bCs w:val="false"/>
          <w:color w:val="404040"/>
          <w:sz w:val="22"/>
          <w:szCs w:val="22"/>
        </w:rPr>
        <w:t xml:space="preserve">Potential batch effects in sparse detection: We will assess whether per-patient detection counts correlate with technical factors (e.g., protein concentration, sample quality indicators if available) and apply correction if needed.</w:t>
      </w:r>
    </w:p>
    <w:p>
      <w:pPr>
        <w:pStyle w:val="ListParagraph"/>
        <w:numPr>
          <w:ilvl w:val="0"/>
          <w:numId w:val="2"/>
        </w:numPr>
        <w:spacing w:before="40" w:after="60"/>
      </w:pPr>
      <w:r>
        <w:rPr>
          <w:rFonts w:ascii="Arial" w:cs="Arial" w:eastAsia="Arial" w:hAnsi="Arial"/>
          <w:b w:val="false"/>
          <w:bCs w:val="false"/>
          <w:color w:val="404040"/>
          <w:sz w:val="22"/>
          <w:szCs w:val="22"/>
        </w:rPr>
        <w:t xml:space="preserve">Ig peptide complexity: Many Ig peptides share sequences across clonotypes. We will group by V-gene family level (not individual clonotype) to ensure statistical tractability.</w:t>
      </w:r>
    </w:p>
    <w:p>
      <w:pPr>
        <w:pStyle w:val="ListParagraph"/>
        <w:numPr>
          <w:ilvl w:val="0"/>
          <w:numId w:val="2"/>
        </w:numPr>
        <w:spacing w:before="40" w:after="60"/>
      </w:pPr>
      <w:r>
        <w:rPr>
          <w:rFonts w:ascii="Arial" w:cs="Arial" w:eastAsia="Arial" w:hAnsi="Arial"/>
          <w:b w:val="false"/>
          <w:bCs w:val="false"/>
          <w:color w:val="404040"/>
          <w:sz w:val="22"/>
          <w:szCs w:val="22"/>
        </w:rPr>
        <w:t xml:space="preserve">Missing clinical metadata: The current dataset is anonymized. Interpretations of patient subtypes will be phenotypic (proteome-based) rather than clinical until metadata is linked.</w:t>
      </w:r>
    </w:p>
    <w:p>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5. Proposed Timeline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360"/>
        <w:gridCol w:w="3600"/>
        <w:gridCol w:w="2720"/>
      </w:tblGrid>
      <w:tr>
        <w:trPr>
          <w:tblHeader/>
        </w:trPr>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c>
          <w:tcPr>
            <w:tcW w:type="dxa" w:w="2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Phase 1: Data Prep</w:t>
            </w:r>
          </w:p>
        </w:tc>
        <w:tc>
          <w:tcPr>
            <w:tcW w:type="dxa" w:w="1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1 month</w:t>
            </w:r>
          </w:p>
        </w:tc>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Protein annotation; Ig classification; quality checks</w:t>
            </w:r>
          </w:p>
        </w:tc>
        <w:tc>
          <w:tcPr>
            <w:tcW w:type="dxa" w:w="27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Annotated protein database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Phase 2: Aim 1 Analysis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 months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Fisher's tests; network construction; pathway enrichment</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Candidate sparse protein list</w:t>
            </w:r>
          </w:p>
        </w:tc>
      </w:tr>
      <w:tr>
        <w:tc>
          <w:tcPr>
            <w:tcW w:type="dxa" w:w="1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Phase 3: Aim 2 Analysis</w:t>
            </w:r>
          </w:p>
        </w:tc>
        <w:tc>
          <w:tcPr>
            <w:tcW w:type="dxa" w:w="1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2 months</w:t>
            </w:r>
          </w:p>
        </w:tc>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Feature engineering; UMAP; clustering; stability testing</w:t>
            </w:r>
          </w:p>
        </w:tc>
        <w:tc>
          <w:tcPr>
            <w:tcW w:type="dxa" w:w="27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Patient subtype report</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Phase 4: Aim 3 Analysis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1.5 months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Ig repertoire matrix; diversity analysis; correlation</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Ig repertoire characterization</w:t>
            </w:r>
          </w:p>
        </w:tc>
      </w:tr>
      <w:tr>
        <w:tc>
          <w:tcPr>
            <w:tcW w:type="dxa" w:w="1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Phase 5: Integration</w:t>
            </w:r>
          </w:p>
        </w:tc>
        <w:tc>
          <w:tcPr>
            <w:tcW w:type="dxa" w:w="1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1 month</w:t>
            </w:r>
          </w:p>
        </w:tc>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Cross-aim integration; external validation; manuscript</w:t>
            </w:r>
          </w:p>
        </w:tc>
        <w:tc>
          <w:tcPr>
            <w:tcW w:type="dxa" w:w="27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404040"/>
                <w:sz w:val="20"/>
                <w:szCs w:val="20"/>
              </w:rPr>
              <w:t xml:space="preserve">Draft manuscript</w:t>
            </w:r>
          </w:p>
        </w:tc>
      </w:tr>
    </w:tbl>
    <w:p>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6. Expected Outcomes and Impact</w:t>
      </w:r>
    </w:p>
    <w:p>
      <w:pPr>
        <w:pStyle w:val="Heading2"/>
        <w:spacing w:before="240" w:after="120"/>
      </w:pPr>
      <w:r>
        <w:rPr>
          <w:rFonts w:ascii="Arial" w:cs="Arial" w:eastAsia="Arial" w:hAnsi="Arial"/>
          <w:b/>
          <w:bCs/>
          <w:color w:val="2E75B6"/>
          <w:sz w:val="26"/>
          <w:szCs w:val="26"/>
        </w:rPr>
        <w:t xml:space="preserve">6.1 Immediate Deliverables</w:t>
      </w:r>
    </w:p>
    <w:p>
      <w:pPr>
        <w:pStyle w:val="ListParagraph"/>
        <w:numPr>
          <w:ilvl w:val="0"/>
          <w:numId w:val="2"/>
        </w:numPr>
        <w:spacing w:before="40" w:after="60"/>
      </w:pPr>
      <w:r>
        <w:rPr>
          <w:rFonts w:ascii="Arial" w:cs="Arial" w:eastAsia="Arial" w:hAnsi="Arial"/>
          <w:b w:val="false"/>
          <w:bCs w:val="false"/>
          <w:color w:val="404040"/>
          <w:sz w:val="22"/>
          <w:szCs w:val="22"/>
        </w:rPr>
        <w:t xml:space="preserve">A comprehensive catalog of 295 patient-specific proteins (detected in AD patients only) with biological annotations, representing a publicly shareable resource</w:t>
      </w:r>
    </w:p>
    <w:p>
      <w:pPr>
        <w:pStyle w:val="ListParagraph"/>
        <w:numPr>
          <w:ilvl w:val="0"/>
          <w:numId w:val="2"/>
        </w:numPr>
        <w:spacing w:before="40" w:after="60"/>
      </w:pPr>
      <w:r>
        <w:rPr>
          <w:rFonts w:ascii="Arial" w:cs="Arial" w:eastAsia="Arial" w:hAnsi="Arial"/>
          <w:b w:val="false"/>
          <w:bCs w:val="false"/>
          <w:color w:val="404040"/>
          <w:sz w:val="22"/>
          <w:szCs w:val="22"/>
        </w:rPr>
        <w:t xml:space="preserve">Validated sparse protein biomarker candidates, prioritized for follow-up in larger cohorts</w:t>
      </w:r>
    </w:p>
    <w:p>
      <w:pPr>
        <w:pStyle w:val="ListParagraph"/>
        <w:numPr>
          <w:ilvl w:val="0"/>
          <w:numId w:val="2"/>
        </w:numPr>
        <w:spacing w:before="40" w:after="60"/>
      </w:pPr>
      <w:r>
        <w:rPr>
          <w:rFonts w:ascii="Arial" w:cs="Arial" w:eastAsia="Arial" w:hAnsi="Arial"/>
          <w:b w:val="false"/>
          <w:bCs w:val="false"/>
          <w:color w:val="404040"/>
          <w:sz w:val="22"/>
          <w:szCs w:val="22"/>
        </w:rPr>
        <w:t xml:space="preserve">A patient subtyping framework applicable to existing and future plasma proteomics datasets</w:t>
      </w:r>
    </w:p>
    <w:p>
      <w:pPr>
        <w:pStyle w:val="ListParagraph"/>
        <w:numPr>
          <w:ilvl w:val="0"/>
          <w:numId w:val="2"/>
        </w:numPr>
        <w:spacing w:before="40" w:after="60"/>
      </w:pPr>
      <w:r>
        <w:rPr>
          <w:rFonts w:ascii="Arial" w:cs="Arial" w:eastAsia="Arial" w:hAnsi="Arial"/>
          <w:b w:val="false"/>
          <w:bCs w:val="false"/>
          <w:color w:val="404040"/>
          <w:sz w:val="22"/>
          <w:szCs w:val="22"/>
        </w:rPr>
        <w:t xml:space="preserve">Characterization of plasma Ig repertoire differences in AD, with implications for neuroinflammation research</w:t>
      </w:r>
    </w:p>
    <w:p>
      <w:pPr>
        <w:pStyle w:val="Heading2"/>
        <w:spacing w:before="240" w:after="120"/>
      </w:pPr>
      <w:r>
        <w:rPr>
          <w:rFonts w:ascii="Arial" w:cs="Arial" w:eastAsia="Arial" w:hAnsi="Arial"/>
          <w:b/>
          <w:bCs/>
          <w:color w:val="2E75B6"/>
          <w:sz w:val="26"/>
          <w:szCs w:val="26"/>
        </w:rPr>
        <w:t xml:space="preserve">6.2 Broader Impact</w:t>
      </w:r>
    </w:p>
    <w:p>
      <w:pPr>
        <w:spacing w:before="60" w:after="100"/>
      </w:pPr>
      <w:r>
        <w:rPr>
          <w:rFonts w:ascii="Arial" w:cs="Arial" w:eastAsia="Arial" w:hAnsi="Arial"/>
          <w:b w:val="false"/>
          <w:bCs w:val="false"/>
          <w:i w:val="false"/>
          <w:iCs w:val="false"/>
          <w:color w:val="404040"/>
          <w:sz w:val="22"/>
          <w:szCs w:val="22"/>
        </w:rPr>
        <w:t xml:space="preserve">This work would contribute to a broader methodological shift in how the field treats mass spectrometry-based proteomics data. Currently, conservative detection thresholds are standard but discard the majority of measured data. By demonstrating that sparse proteins carry real disease signals, we would encourage future studies to apply multi-modal analytical frameworks from the outset, maximizing the biological value of expensive proteomic datasets.</w:t>
      </w:r>
    </w:p>
    <w:p>
      <w:pPr>
        <w:spacing w:before="60" w:after="100"/>
      </w:pPr>
      <w:r>
        <w:rPr>
          <w:rFonts w:ascii="Arial" w:cs="Arial" w:eastAsia="Arial" w:hAnsi="Arial"/>
          <w:b w:val="false"/>
          <w:bCs w:val="false"/>
          <w:i w:val="false"/>
          <w:iCs w:val="false"/>
          <w:color w:val="404040"/>
          <w:sz w:val="22"/>
          <w:szCs w:val="22"/>
        </w:rPr>
        <w:t xml:space="preserve">Additionally, if the Ig repertoire analysis yields clinically relevant results, it could motivate dedicated plasma B-cell repertoire studies in AD — a largely unexplored area with potential implications for immunotherapy targeting in AD.</w:t>
      </w:r>
    </w:p>
    <w:p>
      <w:pPr>
        <w:pStyle w:val="Heading2"/>
        <w:spacing w:before="240" w:after="120"/>
      </w:pPr>
      <w:r>
        <w:rPr>
          <w:rFonts w:ascii="Arial" w:cs="Arial" w:eastAsia="Arial" w:hAnsi="Arial"/>
          <w:b/>
          <w:bCs/>
          <w:color w:val="2E75B6"/>
          <w:sz w:val="26"/>
          <w:szCs w:val="26"/>
        </w:rPr>
        <w:t xml:space="preserve">6.3 Connection to Original Paper Findings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196A6" w:sz="24"/>
              <w:bottom w:val="single" w:color="2E75B6" w:sz="4"/>
              <w:right w:val="none" w:color="FFFFFF" w:sz="0"/>
            </w:tcBorders>
            <w:shd w:fill="D6E4F0" w:val="clear"/>
            <w:tcMar>
              <w:top w:type="dxa" w:w="120"/>
              <w:left w:type="dxa" w:w="200"/>
              <w:bottom w:type="dxa" w:w="120"/>
              <w:right w:type="dxa" w:w="120"/>
            </w:tcMar>
          </w:tcPr>
          <w:p>
            <w:pPr>
              <w:spacing w:before="0" w:after="60"/>
            </w:pPr>
            <w:r>
              <w:rPr>
                <w:rFonts w:ascii="Arial" w:cs="Arial" w:eastAsia="Arial" w:hAnsi="Arial"/>
                <w:b/>
                <w:bCs/>
                <w:color w:val="1F4E79"/>
                <w:sz w:val="22"/>
                <w:szCs w:val="22"/>
              </w:rPr>
              <w:t xml:space="preserve">Alignment with Published Results</w:t>
            </w:r>
          </w:p>
          <w:p>
            <w:pPr>
              <w:spacing w:before="0" w:after="0"/>
            </w:pPr>
            <w:r>
              <w:rPr>
                <w:rFonts w:ascii="Arial" w:cs="Arial" w:eastAsia="Arial" w:hAnsi="Arial"/>
                <w:color w:val="404040"/>
                <w:sz w:val="22"/>
                <w:szCs w:val="22"/>
              </w:rPr>
              <w:t xml:space="preserve">The original paper identified complement C7 (detected in 16/20 patients, 5/10 controls) as the top hit. Our analysis finds that Complement C1s — the initiating protease of the classical complement pathway — is detected in 8/20 patients and 0/10 controls (patient-exclusive). This is a biologically coherent extension: C1s activates the cascade that ultimately generates C7. The sparse proteins are not random noise; they extend and deepen the biological story told by the core 260-protein panel.</w:t>
            </w:r>
          </w:p>
        </w:tc>
      </w:tr>
    </w:tbl>
    <w:p>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7. Selected References</w:t>
      </w:r>
    </w:p>
    <w:p>
      <w:pPr>
        <w:spacing w:before="60" w:after="100"/>
      </w:pPr>
      <w:r>
        <w:rPr>
          <w:rFonts w:ascii="Arial" w:cs="Arial" w:eastAsia="Arial" w:hAnsi="Arial"/>
          <w:b w:val="false"/>
          <w:bCs w:val="false"/>
          <w:i w:val="false"/>
          <w:iCs w:val="false"/>
          <w:color w:val="404040"/>
          <w:sz w:val="22"/>
          <w:szCs w:val="22"/>
        </w:rPr>
        <w:t xml:space="preserve">1. Lee et al. (2025). Longitudinal plasma proteomics: relation to incident Alzheimer's disease dementia and biomarkers. Alzheimer's &amp; Dementia: Diagnosis, Assessment &amp; Disease Monitoring. DOI: 10.1002/dad2.70172.</w:t>
      </w:r>
    </w:p>
    <w:p>
      <w:pPr>
        <w:spacing w:before="60" w:after="100"/>
      </w:pPr>
      <w:r>
        <w:rPr>
          <w:rFonts w:ascii="Arial" w:cs="Arial" w:eastAsia="Arial" w:hAnsi="Arial"/>
          <w:b w:val="false"/>
          <w:bCs w:val="false"/>
          <w:i w:val="false"/>
          <w:iCs w:val="false"/>
          <w:color w:val="404040"/>
          <w:sz w:val="22"/>
          <w:szCs w:val="22"/>
        </w:rPr>
        <w:t xml:space="preserve">2. Hou et al. (2026). Proteomics reveals three molecular subtypes of Alzheimer's disease with distinct progression patterns. Alzheimer's &amp; Dementia. DOI: 10.1002/alz.71106.</w:t>
      </w:r>
    </w:p>
    <w:p>
      <w:pPr>
        <w:spacing w:before="60" w:after="100"/>
      </w:pPr>
      <w:r>
        <w:rPr>
          <w:rFonts w:ascii="Arial" w:cs="Arial" w:eastAsia="Arial" w:hAnsi="Arial"/>
          <w:b w:val="false"/>
          <w:bCs w:val="false"/>
          <w:i w:val="false"/>
          <w:iCs w:val="false"/>
          <w:color w:val="404040"/>
          <w:sz w:val="22"/>
          <w:szCs w:val="22"/>
        </w:rPr>
        <w:t xml:space="preserve">3. Huang et al. (2025). Plasma proteomic analysis identifies proteins and pathways related to Alzheimer's risk. Alzheimer's &amp; Dementia. DOI: 10.1002/alz.70579.</w:t>
      </w:r>
    </w:p>
    <w:p>
      <w:pPr>
        <w:spacing w:before="60" w:after="100"/>
      </w:pPr>
      <w:r>
        <w:rPr>
          <w:rFonts w:ascii="Arial" w:cs="Arial" w:eastAsia="Arial" w:hAnsi="Arial"/>
          <w:b w:val="false"/>
          <w:bCs w:val="false"/>
          <w:i w:val="false"/>
          <w:iCs w:val="false"/>
          <w:color w:val="404040"/>
          <w:sz w:val="22"/>
          <w:szCs w:val="22"/>
        </w:rPr>
        <w:t xml:space="preserve">4. Salih et al. (2025). Genetic associations of plasma proteomics with dementia subtypes and neuroimaging markers. Alzheimer's &amp; Dementia: Diagnosis, Assessment &amp; Disease Monitoring. DOI: 10.1002/dad2.70202.</w:t>
      </w:r>
    </w:p>
    <w:p>
      <w:pPr>
        <w:spacing w:before="60" w:after="100"/>
      </w:pPr>
      <w:r>
        <w:rPr>
          <w:rFonts w:ascii="Arial" w:cs="Arial" w:eastAsia="Arial" w:hAnsi="Arial"/>
          <w:b w:val="false"/>
          <w:bCs w:val="false"/>
          <w:i w:val="false"/>
          <w:iCs w:val="false"/>
          <w:color w:val="404040"/>
          <w:sz w:val="22"/>
          <w:szCs w:val="22"/>
        </w:rPr>
        <w:t xml:space="preserve">5. Winchester et al. (2023). Artificial intelligence for biomarker discovery in Alzheimer's disease and dementia. Alzheimer's &amp; Dementia. DOI: 10.1002/alz.13390.</w:t>
      </w:r>
    </w:p>
    <w:p>
      <w:pPr>
        <w:spacing w:before="60" w:after="100"/>
      </w:pPr>
      <w:r>
        <w:rPr>
          <w:rFonts w:ascii="Arial" w:cs="Arial" w:eastAsia="Arial" w:hAnsi="Arial"/>
          <w:b w:val="false"/>
          <w:bCs w:val="false"/>
          <w:i w:val="false"/>
          <w:iCs w:val="false"/>
          <w:color w:val="404040"/>
          <w:sz w:val="22"/>
          <w:szCs w:val="22"/>
        </w:rPr>
        <w:t xml:space="preserve">6. Seifar et al. (2024). Large-scale deep proteomic analysis in Alzheimer's disease brain regions across race and ethnicity. Alzheimer's &amp; Dementia. DOI: 10.1002/alz.14360.</w:t>
      </w:r>
    </w:p>
    <w:p>
      <w:pPr>
        <w:spacing w:before="60" w:after="100"/>
      </w:pPr>
      <w:r>
        <w:rPr>
          <w:rFonts w:ascii="Arial" w:cs="Arial" w:eastAsia="Arial" w:hAnsi="Arial"/>
          <w:b w:val="false"/>
          <w:bCs w:val="false"/>
          <w:i w:val="false"/>
          <w:iCs w:val="false"/>
          <w:color w:val="404040"/>
          <w:sz w:val="22"/>
          <w:szCs w:val="22"/>
        </w:rPr>
        <w:t xml:space="preserve">7. Petersen et al. (2020). Proteomic profiles for Alzheimer's disease and mild cognitive impairment among adults with Down syndrome. Alzheimer's &amp; Dementia: DAD2. DOI: 10.1002/dad2.12039.</w:t>
      </w:r>
    </w:p>
    <w:p>
      <w:r>
        <w:t xml:space="preserve"/>
      </w:r>
    </w:p>
    <w:p>
      <w:pPr>
        <w:pBdr>
          <w:top w:val="single" w:color="2E75B6" w:sz="4" w:space="4"/>
        </w:pBdr>
        <w:spacing w:before="240"/>
        <w:jc w:val="center"/>
      </w:pPr>
      <w:r>
        <w:rPr>
          <w:rFonts w:ascii="Arial" w:cs="Arial" w:eastAsia="Arial" w:hAnsi="Arial"/>
          <w:i/>
          <w:iCs/>
          <w:color w:val="7F7F7F"/>
          <w:sz w:val="20"/>
          <w:szCs w:val="20"/>
        </w:rPr>
        <w:t xml:space="preserve">End of Proposal</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7F7F7F"/>
        <w:sz w:val="18"/>
        <w:szCs w:val="18"/>
      </w:rPr>
      <w:t xml:space="preserve">Confidential Research Proposal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7F7F7F"/>
        <w:sz w:val="18"/>
        <w:szCs w:val="18"/>
      </w:rPr>
      <w:t xml:space="preserve">Research Proposal  |  </w:t>
    </w:r>
    <w:r>
      <w:rPr>
        <w:rFonts w:ascii="Arial" w:cs="Arial" w:eastAsia="Arial" w:hAnsi="Arial"/>
        <w:b/>
        <w:bCs/>
        <w:color w:val="2E75B6"/>
        <w:sz w:val="18"/>
        <w:szCs w:val="18"/>
      </w:rPr>
      <w:t xml:space="preserve">Plasma Proteomics &amp; Alzheimer's Disease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196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2026-02-17T11:36:58.501Z</dcterms:created>
  <dcterms:modified xsi:type="dcterms:W3CDTF">2026-02-17T11:36:58.502Z</dcterms:modified>
</cp:coreProperties>
</file>

<file path=docProps/custom.xml><?xml version="1.0" encoding="utf-8"?>
<Properties xmlns="http://schemas.openxmlformats.org/officeDocument/2006/custom-properties" xmlns:vt="http://schemas.openxmlformats.org/officeDocument/2006/docPropsVTypes"/>
</file>