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84007" w14:textId="77777777" w:rsidR="00B969E7" w:rsidRDefault="00B969E7" w:rsidP="00B969E7">
      <w:pPr>
        <w:pStyle w:val="Heading1"/>
        <w:jc w:val="center"/>
      </w:pPr>
      <w:bookmarkStart w:id="0" w:name="_Toc202343758"/>
      <w:r w:rsidRPr="00A2480E">
        <w:t>Client Referral Workflow</w:t>
      </w:r>
      <w:bookmarkEnd w:id="0"/>
    </w:p>
    <w:p w14:paraId="024D15D4" w14:textId="77777777" w:rsidR="00B969E7" w:rsidRPr="00773010" w:rsidRDefault="00B969E7" w:rsidP="00B969E7">
      <w:r>
        <w:rPr>
          <w:noProof/>
        </w:rPr>
        <w:drawing>
          <wp:inline distT="0" distB="0" distL="0" distR="0" wp14:anchorId="1439B2B2" wp14:editId="3B0B570E">
            <wp:extent cx="6187440" cy="1923896"/>
            <wp:effectExtent l="0" t="0" r="3810" b="635"/>
            <wp:docPr id="1927688018" name="Picture 28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88018" name="Picture 28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0" b="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905" cy="194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29FFB" w14:textId="0C0DC516" w:rsidR="00B969E7" w:rsidRPr="00116C79" w:rsidRDefault="00B969E7" w:rsidP="00B969E7">
      <w:pPr>
        <w:numPr>
          <w:ilvl w:val="0"/>
          <w:numId w:val="1"/>
        </w:numPr>
        <w:rPr>
          <w:sz w:val="22"/>
          <w:szCs w:val="22"/>
        </w:rPr>
      </w:pPr>
      <w:bookmarkStart w:id="1" w:name="_Toc202343760"/>
      <w:r w:rsidRPr="00116C79">
        <w:rPr>
          <w:rStyle w:val="Heading4Char"/>
          <w:sz w:val="22"/>
          <w:szCs w:val="22"/>
        </w:rPr>
        <w:t xml:space="preserve">Referral Initiation </w:t>
      </w:r>
      <w:r w:rsidRPr="00A2480E">
        <w:rPr>
          <w:rStyle w:val="Heading4Char"/>
          <w:sz w:val="22"/>
          <w:szCs w:val="22"/>
        </w:rPr>
        <w:t>and Eligibility Screening</w:t>
      </w:r>
      <w:bookmarkEnd w:id="1"/>
      <w:r w:rsidRPr="00A2480E">
        <w:rPr>
          <w:sz w:val="22"/>
          <w:szCs w:val="22"/>
        </w:rPr>
        <w:t>: Referrals will originate from IDOC approximately 90 days before release</w:t>
      </w:r>
      <w:r w:rsidRPr="00116C79">
        <w:rPr>
          <w:sz w:val="22"/>
          <w:szCs w:val="22"/>
        </w:rPr>
        <w:t xml:space="preserve">. Referral sources submit a </w:t>
      </w:r>
      <w:r w:rsidRPr="0021243B">
        <w:rPr>
          <w:sz w:val="22"/>
          <w:szCs w:val="22"/>
        </w:rPr>
        <w:t>Referral Form</w:t>
      </w:r>
      <w:r w:rsidRPr="00116C79">
        <w:rPr>
          <w:b/>
          <w:bCs/>
          <w:sz w:val="22"/>
          <w:szCs w:val="22"/>
        </w:rPr>
        <w:t xml:space="preserve"> </w:t>
      </w:r>
      <w:r w:rsidRPr="00116C79">
        <w:rPr>
          <w:sz w:val="22"/>
          <w:szCs w:val="22"/>
        </w:rPr>
        <w:t xml:space="preserve">through a secure intake portal, attaching a screening packet with key client data. The packet includes demographics, criminal history (flags for sex offense or arson), mental health information, and any release conditions. Upon receipt, </w:t>
      </w:r>
      <w:r>
        <w:rPr>
          <w:sz w:val="22"/>
          <w:szCs w:val="22"/>
        </w:rPr>
        <w:t>B2H</w:t>
      </w:r>
      <w:r w:rsidRPr="00116C79">
        <w:rPr>
          <w:sz w:val="22"/>
          <w:szCs w:val="22"/>
        </w:rPr>
        <w:t xml:space="preserve"> staff review basic </w:t>
      </w:r>
      <w:r w:rsidRPr="0021243B">
        <w:rPr>
          <w:sz w:val="22"/>
          <w:szCs w:val="22"/>
        </w:rPr>
        <w:t>eligibility criteria</w:t>
      </w:r>
      <w:r w:rsidRPr="00116C79">
        <w:rPr>
          <w:sz w:val="22"/>
          <w:szCs w:val="22"/>
        </w:rPr>
        <w:t xml:space="preserve"> – for example, confirming the individual is within 90 days of release, eligible for </w:t>
      </w:r>
      <w:r>
        <w:rPr>
          <w:sz w:val="22"/>
          <w:szCs w:val="22"/>
        </w:rPr>
        <w:t>B2H</w:t>
      </w:r>
      <w:r w:rsidRPr="00116C79">
        <w:rPr>
          <w:sz w:val="22"/>
          <w:szCs w:val="22"/>
        </w:rPr>
        <w:t xml:space="preserve"> programming, willing to participate, and not under inpatient commitment. If </w:t>
      </w:r>
      <w:r w:rsidRPr="00A2480E">
        <w:rPr>
          <w:sz w:val="22"/>
          <w:szCs w:val="22"/>
        </w:rPr>
        <w:t xml:space="preserve">the </w:t>
      </w:r>
      <w:r w:rsidRPr="00116C79">
        <w:rPr>
          <w:sz w:val="22"/>
          <w:szCs w:val="22"/>
        </w:rPr>
        <w:t xml:space="preserve">initial criteria are met, a </w:t>
      </w:r>
      <w:r w:rsidRPr="0021243B">
        <w:rPr>
          <w:sz w:val="22"/>
          <w:szCs w:val="22"/>
        </w:rPr>
        <w:t>reentry case manager</w:t>
      </w:r>
      <w:r w:rsidRPr="00116C79">
        <w:rPr>
          <w:sz w:val="22"/>
          <w:szCs w:val="22"/>
        </w:rPr>
        <w:t xml:space="preserve"> is assigned to begin the intake process.</w:t>
      </w:r>
    </w:p>
    <w:p w14:paraId="099065B6" w14:textId="6F2B192E" w:rsidR="00B969E7" w:rsidRPr="00116C79" w:rsidRDefault="00B969E7" w:rsidP="00B969E7">
      <w:pPr>
        <w:numPr>
          <w:ilvl w:val="0"/>
          <w:numId w:val="1"/>
        </w:numPr>
        <w:rPr>
          <w:sz w:val="22"/>
          <w:szCs w:val="22"/>
        </w:rPr>
      </w:pPr>
      <w:bookmarkStart w:id="2" w:name="_Toc202343761"/>
      <w:r w:rsidRPr="00116C79">
        <w:rPr>
          <w:rStyle w:val="Heading4Char"/>
          <w:sz w:val="22"/>
          <w:szCs w:val="22"/>
        </w:rPr>
        <w:t>Landlord Engagement &amp; Unit Matching</w:t>
      </w:r>
      <w:bookmarkEnd w:id="2"/>
      <w:r w:rsidRPr="00116C79">
        <w:rPr>
          <w:b/>
          <w:bCs/>
          <w:sz w:val="22"/>
          <w:szCs w:val="22"/>
        </w:rPr>
        <w:t>:</w:t>
      </w:r>
      <w:r w:rsidRPr="00116C79">
        <w:rPr>
          <w:sz w:val="22"/>
          <w:szCs w:val="22"/>
        </w:rPr>
        <w:t xml:space="preserve"> In parallel with client intake, a </w:t>
      </w:r>
      <w:r w:rsidRPr="0021243B">
        <w:rPr>
          <w:sz w:val="22"/>
          <w:szCs w:val="22"/>
        </w:rPr>
        <w:t>Network Housing Developer</w:t>
      </w:r>
      <w:r w:rsidRPr="00116C79">
        <w:rPr>
          <w:sz w:val="22"/>
          <w:szCs w:val="22"/>
        </w:rPr>
        <w:t xml:space="preserve"> engages housing providers. Landlords complete a </w:t>
      </w:r>
      <w:r w:rsidRPr="0021243B">
        <w:rPr>
          <w:sz w:val="22"/>
          <w:szCs w:val="22"/>
        </w:rPr>
        <w:t>Landlord Information &amp; LOI Form</w:t>
      </w:r>
      <w:r w:rsidRPr="00116C79">
        <w:rPr>
          <w:b/>
          <w:bCs/>
          <w:sz w:val="22"/>
          <w:szCs w:val="22"/>
        </w:rPr>
        <w:t xml:space="preserve"> </w:t>
      </w:r>
      <w:r w:rsidRPr="00116C79">
        <w:rPr>
          <w:sz w:val="22"/>
          <w:szCs w:val="22"/>
        </w:rPr>
        <w:t xml:space="preserve">to express interest. This form captures unit details (location, type, ADA accessibility, etc.) and </w:t>
      </w:r>
      <w:r w:rsidRPr="00A2480E">
        <w:rPr>
          <w:sz w:val="22"/>
          <w:szCs w:val="22"/>
        </w:rPr>
        <w:t>the landlord's</w:t>
      </w:r>
      <w:r w:rsidRPr="00116C79">
        <w:rPr>
          <w:sz w:val="22"/>
          <w:szCs w:val="22"/>
        </w:rPr>
        <w:t xml:space="preserve"> capacity to house </w:t>
      </w:r>
      <w:r>
        <w:rPr>
          <w:sz w:val="22"/>
          <w:szCs w:val="22"/>
        </w:rPr>
        <w:t>B2H</w:t>
      </w:r>
      <w:r w:rsidRPr="00116C79">
        <w:rPr>
          <w:sz w:val="22"/>
          <w:szCs w:val="22"/>
        </w:rPr>
        <w:t xml:space="preserve"> participants. TASC will provide landlords a program summary and a documentation checklist outlining required documents (e.g.</w:t>
      </w:r>
      <w:r w:rsidRPr="00A2480E">
        <w:rPr>
          <w:sz w:val="22"/>
          <w:szCs w:val="22"/>
        </w:rPr>
        <w:t>,</w:t>
      </w:r>
      <w:r w:rsidRPr="00116C79">
        <w:rPr>
          <w:sz w:val="22"/>
          <w:szCs w:val="22"/>
        </w:rPr>
        <w:t xml:space="preserve"> property inspection reports, tax ID, W-9). Suitable housing units are </w:t>
      </w:r>
      <w:r w:rsidRPr="0021243B">
        <w:rPr>
          <w:sz w:val="22"/>
          <w:szCs w:val="22"/>
        </w:rPr>
        <w:t>matched</w:t>
      </w:r>
      <w:r w:rsidRPr="00116C79">
        <w:rPr>
          <w:sz w:val="22"/>
          <w:szCs w:val="22"/>
        </w:rPr>
        <w:t xml:space="preserve"> </w:t>
      </w:r>
      <w:proofErr w:type="gramStart"/>
      <w:r w:rsidRPr="00116C79">
        <w:rPr>
          <w:sz w:val="22"/>
          <w:szCs w:val="22"/>
        </w:rPr>
        <w:t>to</w:t>
      </w:r>
      <w:proofErr w:type="gramEnd"/>
      <w:r w:rsidRPr="00116C79">
        <w:rPr>
          <w:sz w:val="22"/>
          <w:szCs w:val="22"/>
        </w:rPr>
        <w:t xml:space="preserve"> participants based on geographic preference and needs. Once a tentative match is found, the landlord signs a Letter of Intent (LOI) and supplies </w:t>
      </w:r>
      <w:r w:rsidRPr="00A2480E">
        <w:rPr>
          <w:sz w:val="22"/>
          <w:szCs w:val="22"/>
        </w:rPr>
        <w:t xml:space="preserve">the </w:t>
      </w:r>
      <w:r w:rsidRPr="00116C79">
        <w:rPr>
          <w:sz w:val="22"/>
          <w:szCs w:val="22"/>
        </w:rPr>
        <w:t xml:space="preserve">required unit documents. A </w:t>
      </w:r>
      <w:r w:rsidRPr="0021243B">
        <w:rPr>
          <w:sz w:val="22"/>
          <w:szCs w:val="22"/>
        </w:rPr>
        <w:t>Tenant–Landlord Match Form</w:t>
      </w:r>
      <w:r w:rsidRPr="00116C79">
        <w:rPr>
          <w:sz w:val="22"/>
          <w:szCs w:val="22"/>
        </w:rPr>
        <w:t xml:space="preserve"> is then </w:t>
      </w:r>
      <w:r w:rsidRPr="00A2480E">
        <w:rPr>
          <w:sz w:val="22"/>
          <w:szCs w:val="22"/>
        </w:rPr>
        <w:t>automatically generated to pair the specific client with the corresponding</w:t>
      </w:r>
      <w:r w:rsidRPr="00116C79">
        <w:rPr>
          <w:sz w:val="22"/>
          <w:szCs w:val="22"/>
        </w:rPr>
        <w:t xml:space="preserve"> housing unit. This form records the property details (e.g.</w:t>
      </w:r>
      <w:r w:rsidRPr="00A2480E">
        <w:rPr>
          <w:sz w:val="22"/>
          <w:szCs w:val="22"/>
        </w:rPr>
        <w:t>,</w:t>
      </w:r>
      <w:r w:rsidRPr="00116C79">
        <w:rPr>
          <w:sz w:val="22"/>
          <w:szCs w:val="22"/>
        </w:rPr>
        <w:t xml:space="preserve"> unit type, readiness date, any pet allowances) and becomes part of the client’s file.</w:t>
      </w:r>
    </w:p>
    <w:p w14:paraId="039A9E9C" w14:textId="26A73685" w:rsidR="00B969E7" w:rsidRPr="00116C79" w:rsidRDefault="00B969E7" w:rsidP="00B969E7">
      <w:pPr>
        <w:numPr>
          <w:ilvl w:val="0"/>
          <w:numId w:val="1"/>
        </w:numPr>
        <w:rPr>
          <w:sz w:val="22"/>
          <w:szCs w:val="22"/>
        </w:rPr>
      </w:pPr>
      <w:bookmarkStart w:id="3" w:name="_Toc202343762"/>
      <w:r w:rsidRPr="00116C79">
        <w:rPr>
          <w:rStyle w:val="Heading4Char"/>
          <w:sz w:val="22"/>
          <w:szCs w:val="22"/>
        </w:rPr>
        <w:t xml:space="preserve">Client Intake </w:t>
      </w:r>
      <w:r w:rsidRPr="00A2480E">
        <w:rPr>
          <w:rStyle w:val="Heading4Char"/>
          <w:sz w:val="22"/>
          <w:szCs w:val="22"/>
        </w:rPr>
        <w:t>and Support Planning</w:t>
      </w:r>
      <w:bookmarkEnd w:id="3"/>
      <w:r w:rsidRPr="00A2480E">
        <w:rPr>
          <w:sz w:val="22"/>
          <w:szCs w:val="22"/>
        </w:rPr>
        <w:t xml:space="preserve">: </w:t>
      </w:r>
      <w:r>
        <w:rPr>
          <w:sz w:val="22"/>
          <w:szCs w:val="22"/>
        </w:rPr>
        <w:t>B2H</w:t>
      </w:r>
      <w:r w:rsidRPr="00A2480E">
        <w:rPr>
          <w:sz w:val="22"/>
          <w:szCs w:val="22"/>
        </w:rPr>
        <w:t xml:space="preserve"> staff </w:t>
      </w:r>
      <w:proofErr w:type="gramStart"/>
      <w:r w:rsidRPr="00A2480E">
        <w:rPr>
          <w:sz w:val="22"/>
          <w:szCs w:val="22"/>
        </w:rPr>
        <w:t>conduct</w:t>
      </w:r>
      <w:r>
        <w:rPr>
          <w:sz w:val="22"/>
          <w:szCs w:val="22"/>
        </w:rPr>
        <w:t>s</w:t>
      </w:r>
      <w:proofErr w:type="gramEnd"/>
      <w:r w:rsidRPr="00A2480E">
        <w:rPr>
          <w:sz w:val="22"/>
          <w:szCs w:val="22"/>
        </w:rPr>
        <w:t xml:space="preserve"> a comprehensive and in-depth intake with the </w:t>
      </w:r>
      <w:proofErr w:type="gramStart"/>
      <w:r w:rsidRPr="00A2480E">
        <w:rPr>
          <w:sz w:val="22"/>
          <w:szCs w:val="22"/>
        </w:rPr>
        <w:t>participant</w:t>
      </w:r>
      <w:proofErr w:type="gramEnd"/>
      <w:r w:rsidRPr="00A2480E">
        <w:rPr>
          <w:sz w:val="22"/>
          <w:szCs w:val="22"/>
        </w:rPr>
        <w:t xml:space="preserve"> to assess their </w:t>
      </w:r>
      <w:r w:rsidRPr="00116C79">
        <w:rPr>
          <w:sz w:val="22"/>
          <w:szCs w:val="22"/>
        </w:rPr>
        <w:t xml:space="preserve">housing and support needs. A </w:t>
      </w:r>
      <w:r w:rsidRPr="0021243B">
        <w:rPr>
          <w:sz w:val="22"/>
          <w:szCs w:val="22"/>
        </w:rPr>
        <w:t>Supportive Housing Eligibility &amp; Readiness Assessment</w:t>
      </w:r>
      <w:r w:rsidRPr="00116C79">
        <w:rPr>
          <w:sz w:val="22"/>
          <w:szCs w:val="22"/>
        </w:rPr>
        <w:t xml:space="preserve"> is completed by a </w:t>
      </w:r>
      <w:r>
        <w:rPr>
          <w:sz w:val="22"/>
          <w:szCs w:val="22"/>
        </w:rPr>
        <w:t>community support specialist</w:t>
      </w:r>
      <w:r w:rsidRPr="00116C79">
        <w:rPr>
          <w:sz w:val="22"/>
          <w:szCs w:val="22"/>
        </w:rPr>
        <w:t xml:space="preserve"> in collaboration with behavioral health staff. This tool evaluates the client’s mental health status, medication adherence, daily living skills, and potential risk factors (e.g.</w:t>
      </w:r>
      <w:r w:rsidRPr="00A2480E">
        <w:rPr>
          <w:sz w:val="22"/>
          <w:szCs w:val="22"/>
        </w:rPr>
        <w:t xml:space="preserve">, aggression, active psychosis) to determine the </w:t>
      </w:r>
      <w:r w:rsidRPr="00116C79">
        <w:rPr>
          <w:sz w:val="22"/>
          <w:szCs w:val="22"/>
        </w:rPr>
        <w:t xml:space="preserve">appropriate housing support level. Based on the assessment, the </w:t>
      </w:r>
      <w:r>
        <w:rPr>
          <w:sz w:val="22"/>
          <w:szCs w:val="22"/>
        </w:rPr>
        <w:t>community support specialist</w:t>
      </w:r>
      <w:r w:rsidRPr="00116C79">
        <w:rPr>
          <w:sz w:val="22"/>
          <w:szCs w:val="22"/>
        </w:rPr>
        <w:t xml:space="preserve"> develops an </w:t>
      </w:r>
      <w:r w:rsidRPr="0021243B">
        <w:rPr>
          <w:sz w:val="22"/>
          <w:szCs w:val="22"/>
        </w:rPr>
        <w:t>individualized service plan</w:t>
      </w:r>
      <w:r w:rsidRPr="00116C79">
        <w:rPr>
          <w:sz w:val="22"/>
          <w:szCs w:val="22"/>
        </w:rPr>
        <w:t xml:space="preserve"> with the participant. Key elements such as the client’s risk level, ability to live independently, and wraparound services needed – are documented. The </w:t>
      </w:r>
      <w:proofErr w:type="gramStart"/>
      <w:r w:rsidRPr="00116C79">
        <w:rPr>
          <w:sz w:val="22"/>
          <w:szCs w:val="22"/>
        </w:rPr>
        <w:t>participant’s</w:t>
      </w:r>
      <w:proofErr w:type="gramEnd"/>
      <w:r w:rsidRPr="00116C79">
        <w:rPr>
          <w:sz w:val="22"/>
          <w:szCs w:val="22"/>
        </w:rPr>
        <w:t xml:space="preserve"> housing preferences and any special </w:t>
      </w:r>
      <w:proofErr w:type="gramStart"/>
      <w:r w:rsidRPr="00116C79">
        <w:rPr>
          <w:sz w:val="22"/>
          <w:szCs w:val="22"/>
        </w:rPr>
        <w:t>accommodations</w:t>
      </w:r>
      <w:proofErr w:type="gramEnd"/>
      <w:r w:rsidRPr="00116C79">
        <w:rPr>
          <w:sz w:val="22"/>
          <w:szCs w:val="22"/>
        </w:rPr>
        <w:t xml:space="preserve"> (e.g.</w:t>
      </w:r>
      <w:r w:rsidRPr="00A2480E">
        <w:rPr>
          <w:sz w:val="22"/>
          <w:szCs w:val="22"/>
        </w:rPr>
        <w:t>,</w:t>
      </w:r>
      <w:r w:rsidRPr="00116C79">
        <w:rPr>
          <w:sz w:val="22"/>
          <w:szCs w:val="22"/>
        </w:rPr>
        <w:t xml:space="preserve"> preferred case manager language or religious </w:t>
      </w:r>
      <w:r w:rsidRPr="00116C79">
        <w:rPr>
          <w:sz w:val="22"/>
          <w:szCs w:val="22"/>
        </w:rPr>
        <w:lastRenderedPageBreak/>
        <w:t>considerations) are noted as well. If the participant is deemed not ready for independent living, alternate arrangements (e.g.</w:t>
      </w:r>
      <w:r w:rsidRPr="00A2480E">
        <w:rPr>
          <w:sz w:val="22"/>
          <w:szCs w:val="22"/>
        </w:rPr>
        <w:t>,</w:t>
      </w:r>
      <w:r w:rsidRPr="00116C79">
        <w:rPr>
          <w:sz w:val="22"/>
          <w:szCs w:val="22"/>
        </w:rPr>
        <w:t xml:space="preserve"> higher-acuity residential placement) will be considered at this stage. Otherwise, the </w:t>
      </w:r>
      <w:r>
        <w:rPr>
          <w:sz w:val="22"/>
          <w:szCs w:val="22"/>
        </w:rPr>
        <w:t>community support specialist</w:t>
      </w:r>
      <w:r w:rsidRPr="00116C79">
        <w:rPr>
          <w:sz w:val="22"/>
          <w:szCs w:val="22"/>
        </w:rPr>
        <w:t xml:space="preserve"> proceeds with </w:t>
      </w:r>
      <w:r w:rsidRPr="00A2480E">
        <w:rPr>
          <w:sz w:val="22"/>
          <w:szCs w:val="22"/>
        </w:rPr>
        <w:t>preparing housing placement</w:t>
      </w:r>
      <w:r w:rsidRPr="00116C79">
        <w:rPr>
          <w:sz w:val="22"/>
          <w:szCs w:val="22"/>
        </w:rPr>
        <w:t>.</w:t>
      </w:r>
    </w:p>
    <w:p w14:paraId="5DC36F95" w14:textId="6432BEFE" w:rsidR="00B969E7" w:rsidRPr="00116C79" w:rsidRDefault="00B969E7" w:rsidP="00B969E7">
      <w:pPr>
        <w:numPr>
          <w:ilvl w:val="0"/>
          <w:numId w:val="1"/>
        </w:numPr>
        <w:rPr>
          <w:sz w:val="22"/>
          <w:szCs w:val="22"/>
        </w:rPr>
      </w:pPr>
      <w:bookmarkStart w:id="4" w:name="_Toc202343763"/>
      <w:r w:rsidRPr="00116C79">
        <w:rPr>
          <w:rStyle w:val="Heading4Char"/>
          <w:sz w:val="22"/>
          <w:szCs w:val="22"/>
        </w:rPr>
        <w:t>Housing Inspection &amp; Approvals</w:t>
      </w:r>
      <w:bookmarkEnd w:id="4"/>
      <w:r w:rsidRPr="00116C79">
        <w:rPr>
          <w:b/>
          <w:bCs/>
          <w:sz w:val="22"/>
          <w:szCs w:val="22"/>
        </w:rPr>
        <w:t>:</w:t>
      </w:r>
      <w:r w:rsidRPr="00116C79">
        <w:rPr>
          <w:sz w:val="22"/>
          <w:szCs w:val="22"/>
        </w:rPr>
        <w:t xml:space="preserve"> Before </w:t>
      </w:r>
      <w:proofErr w:type="gramStart"/>
      <w:r w:rsidRPr="00116C79">
        <w:rPr>
          <w:sz w:val="22"/>
          <w:szCs w:val="22"/>
        </w:rPr>
        <w:t>move-in</w:t>
      </w:r>
      <w:proofErr w:type="gramEnd"/>
      <w:r w:rsidRPr="00116C79">
        <w:rPr>
          <w:sz w:val="22"/>
          <w:szCs w:val="22"/>
        </w:rPr>
        <w:t xml:space="preserve">, each matched housing unit must pass compliance checks. The Network Housing Developer coordinates a </w:t>
      </w:r>
      <w:r w:rsidRPr="0021243B">
        <w:rPr>
          <w:sz w:val="22"/>
          <w:szCs w:val="22"/>
        </w:rPr>
        <w:t>property inspection</w:t>
      </w:r>
      <w:r w:rsidRPr="00116C79">
        <w:rPr>
          <w:sz w:val="22"/>
          <w:szCs w:val="22"/>
        </w:rPr>
        <w:t xml:space="preserve"> with the landlord and participant. Using the </w:t>
      </w:r>
      <w:r w:rsidRPr="0021243B">
        <w:rPr>
          <w:sz w:val="22"/>
          <w:szCs w:val="22"/>
        </w:rPr>
        <w:t>Housing Inspection Checklist</w:t>
      </w:r>
      <w:r w:rsidRPr="00116C79">
        <w:rPr>
          <w:sz w:val="22"/>
          <w:szCs w:val="22"/>
        </w:rPr>
        <w:t xml:space="preserve">, staff log the inspection date, note any deficiencies, and mark whether the unit passed or requires follow-up. </w:t>
      </w:r>
      <w:r w:rsidRPr="00A2480E">
        <w:rPr>
          <w:sz w:val="22"/>
          <w:szCs w:val="22"/>
        </w:rPr>
        <w:t>Every day,</w:t>
      </w:r>
      <w:r w:rsidRPr="00116C79">
        <w:rPr>
          <w:sz w:val="22"/>
          <w:szCs w:val="22"/>
        </w:rPr>
        <w:t xml:space="preserve"> checklist items include habitability standards and any lease addendum reviews (for example, confirming </w:t>
      </w:r>
      <w:r w:rsidRPr="00A2480E">
        <w:rPr>
          <w:sz w:val="22"/>
          <w:szCs w:val="22"/>
        </w:rPr>
        <w:t xml:space="preserve">that there are </w:t>
      </w:r>
      <w:r w:rsidRPr="00116C79">
        <w:rPr>
          <w:sz w:val="22"/>
          <w:szCs w:val="22"/>
        </w:rPr>
        <w:t xml:space="preserve">no prohibited conditions for the client). Once the unit passes inspection and is lease-ready, </w:t>
      </w:r>
      <w:r>
        <w:rPr>
          <w:sz w:val="22"/>
          <w:szCs w:val="22"/>
        </w:rPr>
        <w:t>B2H</w:t>
      </w:r>
      <w:r w:rsidRPr="00116C79">
        <w:rPr>
          <w:sz w:val="22"/>
          <w:szCs w:val="22"/>
        </w:rPr>
        <w:t xml:space="preserve"> moves into the final approval phase. The Supervisor (and/or an oversight committee) reviews the case for administrative approval. </w:t>
      </w:r>
      <w:r w:rsidRPr="00A2480E">
        <w:rPr>
          <w:sz w:val="22"/>
          <w:szCs w:val="22"/>
        </w:rPr>
        <w:t>Before</w:t>
      </w:r>
      <w:r w:rsidRPr="00116C79">
        <w:rPr>
          <w:sz w:val="22"/>
          <w:szCs w:val="22"/>
        </w:rPr>
        <w:t xml:space="preserve"> approval, staff must upload all required documents</w:t>
      </w:r>
      <w:r w:rsidRPr="00A2480E">
        <w:rPr>
          <w:sz w:val="22"/>
          <w:szCs w:val="22"/>
        </w:rPr>
        <w:t>, including the participant’s finalized Service Plan, the signed landlord lease, and tax forms (W-9, ACH), as well as</w:t>
      </w:r>
      <w:r w:rsidRPr="00116C79">
        <w:rPr>
          <w:sz w:val="22"/>
          <w:szCs w:val="22"/>
        </w:rPr>
        <w:t xml:space="preserve"> a brief </w:t>
      </w:r>
      <w:r w:rsidRPr="0021243B">
        <w:rPr>
          <w:sz w:val="22"/>
          <w:szCs w:val="22"/>
        </w:rPr>
        <w:t>Housing Plan Summary</w:t>
      </w:r>
      <w:r w:rsidRPr="00116C79">
        <w:rPr>
          <w:sz w:val="22"/>
          <w:szCs w:val="22"/>
        </w:rPr>
        <w:t xml:space="preserve"> detailing the placement. The supervisor verifies that all documentation is in place and that the housing plan meets program standards, then issues </w:t>
      </w:r>
      <w:proofErr w:type="gramStart"/>
      <w:r w:rsidRPr="00116C79">
        <w:rPr>
          <w:sz w:val="22"/>
          <w:szCs w:val="22"/>
        </w:rPr>
        <w:t>an approval</w:t>
      </w:r>
      <w:proofErr w:type="gramEnd"/>
      <w:r w:rsidRPr="00116C79">
        <w:rPr>
          <w:sz w:val="22"/>
          <w:szCs w:val="22"/>
        </w:rPr>
        <w:t xml:space="preserve"> for the client to move into </w:t>
      </w:r>
      <w:r w:rsidRPr="00A2480E">
        <w:rPr>
          <w:sz w:val="22"/>
          <w:szCs w:val="22"/>
        </w:rPr>
        <w:t>permanent housing</w:t>
      </w:r>
      <w:r w:rsidRPr="00116C79">
        <w:rPr>
          <w:sz w:val="22"/>
          <w:szCs w:val="22"/>
        </w:rPr>
        <w:t>.</w:t>
      </w:r>
    </w:p>
    <w:p w14:paraId="2D9C87B7" w14:textId="44424830" w:rsidR="00B969E7" w:rsidRPr="00116C79" w:rsidRDefault="00B969E7" w:rsidP="00B969E7">
      <w:pPr>
        <w:numPr>
          <w:ilvl w:val="0"/>
          <w:numId w:val="1"/>
        </w:numPr>
        <w:rPr>
          <w:sz w:val="22"/>
          <w:szCs w:val="22"/>
        </w:rPr>
      </w:pPr>
      <w:bookmarkStart w:id="5" w:name="_Toc202343764"/>
      <w:r w:rsidRPr="00116C79">
        <w:rPr>
          <w:rStyle w:val="Heading4Char"/>
          <w:sz w:val="22"/>
          <w:szCs w:val="22"/>
        </w:rPr>
        <w:t>Placement &amp; Move-In Orientation</w:t>
      </w:r>
      <w:bookmarkEnd w:id="5"/>
      <w:r w:rsidRPr="00116C79">
        <w:rPr>
          <w:b/>
          <w:bCs/>
          <w:sz w:val="22"/>
          <w:szCs w:val="22"/>
        </w:rPr>
        <w:t>:</w:t>
      </w:r>
      <w:r w:rsidRPr="00116C79">
        <w:rPr>
          <w:sz w:val="22"/>
          <w:szCs w:val="22"/>
        </w:rPr>
        <w:t xml:space="preserve"> With </w:t>
      </w:r>
      <w:proofErr w:type="gramStart"/>
      <w:r w:rsidRPr="00116C79">
        <w:rPr>
          <w:sz w:val="22"/>
          <w:szCs w:val="22"/>
        </w:rPr>
        <w:t>approvals</w:t>
      </w:r>
      <w:proofErr w:type="gramEnd"/>
      <w:r w:rsidRPr="00116C79">
        <w:rPr>
          <w:sz w:val="22"/>
          <w:szCs w:val="22"/>
        </w:rPr>
        <w:t xml:space="preserve"> secured, the participant moves into the unit, typically aligning with the individual’s release date. The landlord, participant, and </w:t>
      </w:r>
      <w:r>
        <w:rPr>
          <w:sz w:val="22"/>
          <w:szCs w:val="22"/>
        </w:rPr>
        <w:t>B2H</w:t>
      </w:r>
      <w:r w:rsidRPr="00116C79">
        <w:rPr>
          <w:sz w:val="22"/>
          <w:szCs w:val="22"/>
        </w:rPr>
        <w:t xml:space="preserve"> staff complete a formal </w:t>
      </w:r>
      <w:r w:rsidRPr="0021243B">
        <w:rPr>
          <w:sz w:val="22"/>
          <w:szCs w:val="22"/>
        </w:rPr>
        <w:t>lease signing and orientation</w:t>
      </w:r>
      <w:r w:rsidRPr="00116C79">
        <w:rPr>
          <w:sz w:val="22"/>
          <w:szCs w:val="22"/>
        </w:rPr>
        <w:t xml:space="preserve">. The participant reviews and signs a </w:t>
      </w:r>
      <w:r w:rsidRPr="0021243B">
        <w:rPr>
          <w:sz w:val="22"/>
          <w:szCs w:val="22"/>
        </w:rPr>
        <w:t>Move-In Checklist</w:t>
      </w:r>
      <w:r w:rsidRPr="00116C79">
        <w:rPr>
          <w:sz w:val="22"/>
          <w:szCs w:val="22"/>
        </w:rPr>
        <w:t xml:space="preserve"> </w:t>
      </w:r>
      <w:r w:rsidRPr="00A2480E">
        <w:rPr>
          <w:sz w:val="22"/>
          <w:szCs w:val="22"/>
        </w:rPr>
        <w:t xml:space="preserve">that covers key move-in tasks and provides </w:t>
      </w:r>
      <w:r w:rsidRPr="00116C79">
        <w:rPr>
          <w:sz w:val="22"/>
          <w:szCs w:val="22"/>
        </w:rPr>
        <w:t xml:space="preserve">an orientation to the unit and program rules. Landlords receive an orientation packet to clarify program contacts and procedures. On the move-in day, </w:t>
      </w:r>
      <w:r>
        <w:rPr>
          <w:sz w:val="22"/>
          <w:szCs w:val="22"/>
        </w:rPr>
        <w:t>B2H</w:t>
      </w:r>
      <w:r w:rsidRPr="00116C79">
        <w:rPr>
          <w:sz w:val="22"/>
          <w:szCs w:val="22"/>
        </w:rPr>
        <w:t xml:space="preserve"> staff assist</w:t>
      </w:r>
      <w:r>
        <w:rPr>
          <w:sz w:val="22"/>
          <w:szCs w:val="22"/>
        </w:rPr>
        <w:t>s</w:t>
      </w:r>
      <w:r w:rsidRPr="00116C79">
        <w:rPr>
          <w:sz w:val="22"/>
          <w:szCs w:val="22"/>
        </w:rPr>
        <w:t xml:space="preserve"> the client with transportation from the correctional facility, a unit walk-through, and immediate needs (starter groceries, hygiene supplies, etc.). Any </w:t>
      </w:r>
      <w:r>
        <w:rPr>
          <w:sz w:val="22"/>
          <w:szCs w:val="22"/>
        </w:rPr>
        <w:t>p</w:t>
      </w:r>
      <w:r w:rsidRPr="00116C79">
        <w:rPr>
          <w:sz w:val="22"/>
          <w:szCs w:val="22"/>
        </w:rPr>
        <w:t xml:space="preserve">arole requirements (such as a 72-hour residential lockdown) are </w:t>
      </w:r>
      <w:r w:rsidRPr="00A2480E">
        <w:rPr>
          <w:sz w:val="22"/>
          <w:szCs w:val="22"/>
        </w:rPr>
        <w:t>currently being coordinated</w:t>
      </w:r>
      <w:r w:rsidRPr="00116C79">
        <w:rPr>
          <w:sz w:val="22"/>
          <w:szCs w:val="22"/>
        </w:rPr>
        <w:t>. Once the client is safely housed, a 72-hour intensive support window begins, during which staff make daily check-ins to stabilize the individual.</w:t>
      </w:r>
    </w:p>
    <w:p w14:paraId="690F3020" w14:textId="291D2903" w:rsidR="00B969E7" w:rsidRPr="00116C79" w:rsidRDefault="00B969E7" w:rsidP="00B969E7">
      <w:pPr>
        <w:numPr>
          <w:ilvl w:val="0"/>
          <w:numId w:val="1"/>
        </w:numPr>
        <w:rPr>
          <w:sz w:val="22"/>
          <w:szCs w:val="22"/>
        </w:rPr>
      </w:pPr>
      <w:bookmarkStart w:id="6" w:name="_Toc202343765"/>
      <w:r w:rsidRPr="00116C79">
        <w:rPr>
          <w:rStyle w:val="Heading4Char"/>
          <w:sz w:val="22"/>
          <w:szCs w:val="22"/>
        </w:rPr>
        <w:t>Post-Housing Stabilization &amp; Follow-Up</w:t>
      </w:r>
      <w:bookmarkEnd w:id="6"/>
      <w:r w:rsidRPr="00116C79">
        <w:rPr>
          <w:b/>
          <w:bCs/>
          <w:sz w:val="22"/>
          <w:szCs w:val="22"/>
        </w:rPr>
        <w:t>:</w:t>
      </w:r>
      <w:r w:rsidRPr="00116C79">
        <w:rPr>
          <w:sz w:val="22"/>
          <w:szCs w:val="22"/>
        </w:rPr>
        <w:t xml:space="preserve"> After placement, the team</w:t>
      </w:r>
      <w:r w:rsidRPr="00A2480E">
        <w:rPr>
          <w:sz w:val="22"/>
          <w:szCs w:val="22"/>
        </w:rPr>
        <w:t xml:space="preserve"> will</w:t>
      </w:r>
      <w:r w:rsidRPr="00116C79">
        <w:rPr>
          <w:sz w:val="22"/>
          <w:szCs w:val="22"/>
        </w:rPr>
        <w:t xml:space="preserve"> provide</w:t>
      </w:r>
      <w:r w:rsidRPr="00A2480E">
        <w:rPr>
          <w:sz w:val="22"/>
          <w:szCs w:val="22"/>
        </w:rPr>
        <w:t xml:space="preserve"> </w:t>
      </w:r>
      <w:r w:rsidRPr="00116C79">
        <w:rPr>
          <w:sz w:val="22"/>
          <w:szCs w:val="22"/>
        </w:rPr>
        <w:t xml:space="preserve">ongoing case management and monitoring to ensure housing stability. A </w:t>
      </w:r>
      <w:r>
        <w:rPr>
          <w:sz w:val="22"/>
          <w:szCs w:val="22"/>
        </w:rPr>
        <w:t>p</w:t>
      </w:r>
      <w:r w:rsidRPr="00116C79">
        <w:rPr>
          <w:sz w:val="22"/>
          <w:szCs w:val="22"/>
        </w:rPr>
        <w:t xml:space="preserve">eer </w:t>
      </w:r>
      <w:r>
        <w:rPr>
          <w:sz w:val="22"/>
          <w:szCs w:val="22"/>
        </w:rPr>
        <w:t>s</w:t>
      </w:r>
      <w:r w:rsidRPr="00116C79">
        <w:rPr>
          <w:sz w:val="22"/>
          <w:szCs w:val="22"/>
        </w:rPr>
        <w:t xml:space="preserve">upport </w:t>
      </w:r>
      <w:r>
        <w:rPr>
          <w:sz w:val="22"/>
          <w:szCs w:val="22"/>
        </w:rPr>
        <w:t>s</w:t>
      </w:r>
      <w:r w:rsidRPr="00116C79">
        <w:rPr>
          <w:sz w:val="22"/>
          <w:szCs w:val="22"/>
        </w:rPr>
        <w:t xml:space="preserve">pecialist and </w:t>
      </w:r>
      <w:r>
        <w:rPr>
          <w:sz w:val="22"/>
          <w:szCs w:val="22"/>
        </w:rPr>
        <w:t>community support specialist will</w:t>
      </w:r>
      <w:r w:rsidRPr="00116C79">
        <w:rPr>
          <w:sz w:val="22"/>
          <w:szCs w:val="22"/>
        </w:rPr>
        <w:t xml:space="preserve"> conduct weekly follow-ups initially, focusing on life skills coaching, connection to mental health services, benefits enrollment, and any court-ordered requirements. </w:t>
      </w:r>
      <w:r>
        <w:rPr>
          <w:sz w:val="22"/>
          <w:szCs w:val="22"/>
        </w:rPr>
        <w:t>B2H</w:t>
      </w:r>
      <w:r w:rsidRPr="00116C79">
        <w:rPr>
          <w:sz w:val="22"/>
          <w:szCs w:val="22"/>
        </w:rPr>
        <w:t xml:space="preserve"> staff </w:t>
      </w:r>
      <w:proofErr w:type="gramStart"/>
      <w:r w:rsidRPr="00116C79">
        <w:rPr>
          <w:sz w:val="22"/>
          <w:szCs w:val="22"/>
        </w:rPr>
        <w:t>log</w:t>
      </w:r>
      <w:proofErr w:type="gramEnd"/>
      <w:r w:rsidRPr="00116C79">
        <w:rPr>
          <w:sz w:val="22"/>
          <w:szCs w:val="22"/>
        </w:rPr>
        <w:t xml:space="preserve"> each contact and track the client’s progress in the electronic system. Any incidents or lease violations trigger </w:t>
      </w:r>
      <w:r w:rsidRPr="00A2480E">
        <w:rPr>
          <w:sz w:val="22"/>
          <w:szCs w:val="22"/>
        </w:rPr>
        <w:t xml:space="preserve">the completion of </w:t>
      </w:r>
      <w:r>
        <w:rPr>
          <w:sz w:val="22"/>
          <w:szCs w:val="22"/>
        </w:rPr>
        <w:t>a</w:t>
      </w:r>
      <w:r w:rsidRPr="00A2480E">
        <w:rPr>
          <w:sz w:val="22"/>
          <w:szCs w:val="22"/>
        </w:rPr>
        <w:t xml:space="preserve"> </w:t>
      </w:r>
      <w:r>
        <w:rPr>
          <w:sz w:val="22"/>
          <w:szCs w:val="22"/>
        </w:rPr>
        <w:t>Violation/</w:t>
      </w:r>
      <w:r w:rsidRPr="00A2480E">
        <w:rPr>
          <w:sz w:val="22"/>
          <w:szCs w:val="22"/>
        </w:rPr>
        <w:t xml:space="preserve">Incident Report Form to document the issue and its </w:t>
      </w:r>
      <w:r w:rsidRPr="00116C79">
        <w:rPr>
          <w:sz w:val="22"/>
          <w:szCs w:val="22"/>
        </w:rPr>
        <w:t xml:space="preserve">resolution. Key stabilization metrics – such as whether the client remains housed at 6 and 12 months – are monitored and reported to program partners. This post-placement support phase ensures that each participant has </w:t>
      </w:r>
      <w:r w:rsidRPr="00A2480E">
        <w:rPr>
          <w:sz w:val="22"/>
          <w:szCs w:val="22"/>
        </w:rPr>
        <w:t xml:space="preserve">access to the necessary wraparound services to maintain housing and work toward achieving </w:t>
      </w:r>
      <w:r w:rsidRPr="00116C79">
        <w:rPr>
          <w:sz w:val="22"/>
          <w:szCs w:val="22"/>
        </w:rPr>
        <w:t>long-term independence.</w:t>
      </w:r>
    </w:p>
    <w:p w14:paraId="0CCA27B6" w14:textId="77777777" w:rsidR="00B969E7" w:rsidRDefault="00B969E7"/>
    <w:sectPr w:rsidR="00B969E7" w:rsidSect="00B969E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01609"/>
    <w:multiLevelType w:val="multilevel"/>
    <w:tmpl w:val="18DE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7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E7"/>
    <w:rsid w:val="00A80649"/>
    <w:rsid w:val="00B9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736B"/>
  <w15:chartTrackingRefBased/>
  <w15:docId w15:val="{58B1419D-CD7D-4D8D-ACF3-72582A1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9E7"/>
  </w:style>
  <w:style w:type="paragraph" w:styleId="Heading1">
    <w:name w:val="heading 1"/>
    <w:basedOn w:val="Normal"/>
    <w:next w:val="Normal"/>
    <w:link w:val="Heading1Char"/>
    <w:uiPriority w:val="9"/>
    <w:qFormat/>
    <w:rsid w:val="00B96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6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6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6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 K</dc:creator>
  <cp:keywords/>
  <dc:description/>
  <cp:lastModifiedBy>Jagadeesh G K</cp:lastModifiedBy>
  <cp:revision>1</cp:revision>
  <dcterms:created xsi:type="dcterms:W3CDTF">2025-10-01T03:22:00Z</dcterms:created>
  <dcterms:modified xsi:type="dcterms:W3CDTF">2025-10-01T03:23:00Z</dcterms:modified>
</cp:coreProperties>
</file>