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B4B6B" w14:textId="77777777" w:rsidR="002D6B58" w:rsidRPr="00A2480E" w:rsidRDefault="002D6B58" w:rsidP="002D6B58">
      <w:pPr>
        <w:pStyle w:val="Heading1"/>
        <w:jc w:val="center"/>
      </w:pPr>
      <w:bookmarkStart w:id="0" w:name="_Toc202343781"/>
      <w:r w:rsidRPr="00A2480E">
        <w:t>Draft Year 1 Budget</w:t>
      </w:r>
      <w:bookmarkEnd w:id="0"/>
    </w:p>
    <w:p w14:paraId="3BA8F714" w14:textId="7D1DC9FF" w:rsidR="002D6B58" w:rsidRPr="00116C79" w:rsidRDefault="002D6B58" w:rsidP="002D6B58">
      <w:pPr>
        <w:rPr>
          <w:sz w:val="22"/>
          <w:szCs w:val="22"/>
        </w:rPr>
      </w:pPr>
      <w:r w:rsidRPr="00116C79">
        <w:rPr>
          <w:sz w:val="22"/>
          <w:szCs w:val="22"/>
        </w:rPr>
        <w:t xml:space="preserve">A detailed Year 1 budget has been prepared, covering all program costs for 60 participants. The budget is designed to </w:t>
      </w:r>
      <w:r w:rsidRPr="0021243B">
        <w:rPr>
          <w:sz w:val="22"/>
          <w:szCs w:val="22"/>
        </w:rPr>
        <w:t>stay within the $3M funding</w:t>
      </w:r>
      <w:r w:rsidRPr="00116C79">
        <w:rPr>
          <w:sz w:val="22"/>
          <w:szCs w:val="22"/>
        </w:rPr>
        <w:t xml:space="preserve"> while providing adequate resources per participant</w:t>
      </w:r>
      <w:r>
        <w:rPr>
          <w:sz w:val="22"/>
          <w:szCs w:val="22"/>
        </w:rPr>
        <w:t xml:space="preserve">. </w:t>
      </w:r>
      <w:r w:rsidRPr="00116C79">
        <w:rPr>
          <w:sz w:val="22"/>
          <w:szCs w:val="22"/>
        </w:rPr>
        <w:t>Major cost components include personnel, rental assistance, participant support, and administrative overhead. Table 1 below summarizes the Year 1 budget breakdown:</w:t>
      </w:r>
    </w:p>
    <w:tbl>
      <w:tblPr>
        <w:tblW w:w="10890" w:type="dxa"/>
        <w:tblCellSpacing w:w="15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260"/>
        <w:gridCol w:w="7650"/>
      </w:tblGrid>
      <w:tr w:rsidR="002D6B58" w:rsidRPr="00116C79" w14:paraId="483A5D53" w14:textId="77777777" w:rsidTr="00DD30EB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5C1B7E60" w14:textId="77777777" w:rsidR="002D6B58" w:rsidRPr="00116C79" w:rsidRDefault="002D6B58" w:rsidP="00DD30EB">
            <w:pPr>
              <w:rPr>
                <w:b/>
                <w:bCs/>
                <w:sz w:val="22"/>
                <w:szCs w:val="22"/>
              </w:rPr>
            </w:pPr>
            <w:r w:rsidRPr="00116C79">
              <w:rPr>
                <w:b/>
                <w:bCs/>
                <w:sz w:val="22"/>
                <w:szCs w:val="22"/>
              </w:rPr>
              <w:t>Budget Category</w:t>
            </w:r>
          </w:p>
        </w:tc>
        <w:tc>
          <w:tcPr>
            <w:tcW w:w="1230" w:type="dxa"/>
            <w:vAlign w:val="center"/>
            <w:hideMark/>
          </w:tcPr>
          <w:p w14:paraId="25CC06FD" w14:textId="77777777" w:rsidR="002D6B58" w:rsidRPr="00116C79" w:rsidRDefault="002D6B58" w:rsidP="00DD30EB">
            <w:pPr>
              <w:rPr>
                <w:b/>
                <w:bCs/>
                <w:sz w:val="22"/>
                <w:szCs w:val="22"/>
              </w:rPr>
            </w:pPr>
            <w:r w:rsidRPr="00116C79">
              <w:rPr>
                <w:b/>
                <w:bCs/>
                <w:sz w:val="22"/>
                <w:szCs w:val="22"/>
              </w:rPr>
              <w:t>Year 1 Cost</w:t>
            </w:r>
          </w:p>
        </w:tc>
        <w:tc>
          <w:tcPr>
            <w:tcW w:w="7605" w:type="dxa"/>
            <w:vAlign w:val="center"/>
            <w:hideMark/>
          </w:tcPr>
          <w:p w14:paraId="1F34D0C8" w14:textId="77777777" w:rsidR="002D6B58" w:rsidRPr="00116C79" w:rsidRDefault="002D6B58" w:rsidP="00DD30EB">
            <w:pPr>
              <w:rPr>
                <w:b/>
                <w:bCs/>
                <w:sz w:val="22"/>
                <w:szCs w:val="22"/>
              </w:rPr>
            </w:pPr>
            <w:r w:rsidRPr="00116C79">
              <w:rPr>
                <w:b/>
                <w:bCs/>
                <w:sz w:val="22"/>
                <w:szCs w:val="22"/>
              </w:rPr>
              <w:t>Details</w:t>
            </w:r>
          </w:p>
        </w:tc>
      </w:tr>
      <w:tr w:rsidR="002D6B58" w:rsidRPr="00116C79" w14:paraId="43A5DBEC" w14:textId="77777777" w:rsidTr="00DD30EB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21B1CBC" w14:textId="77777777" w:rsidR="002D6B58" w:rsidRPr="00116C79" w:rsidRDefault="002D6B58" w:rsidP="00DD30EB">
            <w:pPr>
              <w:rPr>
                <w:sz w:val="22"/>
                <w:szCs w:val="22"/>
              </w:rPr>
            </w:pPr>
            <w:r w:rsidRPr="00116C79">
              <w:rPr>
                <w:b/>
                <w:bCs/>
                <w:sz w:val="22"/>
                <w:szCs w:val="22"/>
              </w:rPr>
              <w:t>Program Staffing &amp; Benefits</w:t>
            </w:r>
          </w:p>
        </w:tc>
        <w:tc>
          <w:tcPr>
            <w:tcW w:w="1230" w:type="dxa"/>
            <w:vAlign w:val="center"/>
            <w:hideMark/>
          </w:tcPr>
          <w:p w14:paraId="652A1B22" w14:textId="77777777" w:rsidR="002D6B58" w:rsidRPr="00116C79" w:rsidRDefault="002D6B58" w:rsidP="00DD30EB">
            <w:pPr>
              <w:rPr>
                <w:sz w:val="22"/>
                <w:szCs w:val="22"/>
              </w:rPr>
            </w:pPr>
            <w:r w:rsidRPr="00116C79">
              <w:rPr>
                <w:sz w:val="22"/>
                <w:szCs w:val="22"/>
              </w:rPr>
              <w:t>$1,000,000</w:t>
            </w:r>
          </w:p>
        </w:tc>
        <w:tc>
          <w:tcPr>
            <w:tcW w:w="7605" w:type="dxa"/>
            <w:vAlign w:val="center"/>
            <w:hideMark/>
          </w:tcPr>
          <w:p w14:paraId="1B5FC218" w14:textId="4FCD842D" w:rsidR="002D6B58" w:rsidRPr="00116C79" w:rsidRDefault="002D6B58" w:rsidP="00DD30EB">
            <w:pPr>
              <w:rPr>
                <w:sz w:val="22"/>
                <w:szCs w:val="22"/>
              </w:rPr>
            </w:pPr>
            <w:r w:rsidRPr="00116C79">
              <w:rPr>
                <w:sz w:val="22"/>
                <w:szCs w:val="22"/>
              </w:rPr>
              <w:t>Salaries for</w:t>
            </w:r>
            <w:r>
              <w:rPr>
                <w:sz w:val="22"/>
                <w:szCs w:val="22"/>
              </w:rPr>
              <w:t xml:space="preserve"> Director (0.</w:t>
            </w:r>
            <w:r w:rsidR="0033264E">
              <w:rPr>
                <w:sz w:val="22"/>
                <w:szCs w:val="22"/>
              </w:rPr>
              <w:t>25</w:t>
            </w:r>
            <w:r>
              <w:rPr>
                <w:sz w:val="22"/>
                <w:szCs w:val="22"/>
              </w:rPr>
              <w:t>),</w:t>
            </w:r>
            <w:r w:rsidRPr="00116C79">
              <w:rPr>
                <w:sz w:val="22"/>
                <w:szCs w:val="22"/>
              </w:rPr>
              <w:t xml:space="preserve"> Supervisor</w:t>
            </w:r>
            <w:r>
              <w:rPr>
                <w:sz w:val="22"/>
                <w:szCs w:val="22"/>
              </w:rPr>
              <w:t xml:space="preserve"> (2)</w:t>
            </w:r>
            <w:r w:rsidRPr="00116C79">
              <w:rPr>
                <w:sz w:val="22"/>
                <w:szCs w:val="22"/>
              </w:rPr>
              <w:t>, C</w:t>
            </w:r>
            <w:r>
              <w:rPr>
                <w:sz w:val="22"/>
                <w:szCs w:val="22"/>
              </w:rPr>
              <w:t>M</w:t>
            </w:r>
            <w:r w:rsidRPr="00116C79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5</w:t>
            </w:r>
            <w:r w:rsidRPr="00116C79">
              <w:rPr>
                <w:sz w:val="22"/>
                <w:szCs w:val="22"/>
              </w:rPr>
              <w:t>), P</w:t>
            </w:r>
            <w:r>
              <w:rPr>
                <w:sz w:val="22"/>
                <w:szCs w:val="22"/>
              </w:rPr>
              <w:t>SS (2)</w:t>
            </w:r>
            <w:r w:rsidRPr="00116C79">
              <w:rPr>
                <w:sz w:val="22"/>
                <w:szCs w:val="22"/>
              </w:rPr>
              <w:t>, NHD</w:t>
            </w:r>
            <w:r>
              <w:rPr>
                <w:sz w:val="22"/>
                <w:szCs w:val="22"/>
              </w:rPr>
              <w:t xml:space="preserve"> (2)</w:t>
            </w:r>
            <w:r w:rsidRPr="00116C79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Drivers (2), </w:t>
            </w:r>
            <w:r>
              <w:rPr>
                <w:sz w:val="22"/>
                <w:szCs w:val="22"/>
              </w:rPr>
              <w:t xml:space="preserve">PQI/Data Specialist (2), Evaluator (1) </w:t>
            </w:r>
            <w:r w:rsidRPr="00116C79">
              <w:rPr>
                <w:sz w:val="22"/>
                <w:szCs w:val="22"/>
              </w:rPr>
              <w:t xml:space="preserve">and </w:t>
            </w:r>
            <w:r>
              <w:rPr>
                <w:sz w:val="22"/>
                <w:szCs w:val="22"/>
              </w:rPr>
              <w:t>1</w:t>
            </w:r>
            <w:r w:rsidRPr="00116C79">
              <w:rPr>
                <w:sz w:val="22"/>
                <w:szCs w:val="22"/>
              </w:rPr>
              <w:t xml:space="preserve"> FTE Administrator, plus benefits and payroll taxes. Enables </w:t>
            </w:r>
            <w:r w:rsidRPr="00A2480E">
              <w:rPr>
                <w:sz w:val="22"/>
                <w:szCs w:val="22"/>
              </w:rPr>
              <w:t xml:space="preserve">a </w:t>
            </w:r>
            <w:r w:rsidRPr="00116C79">
              <w:rPr>
                <w:sz w:val="22"/>
                <w:szCs w:val="22"/>
              </w:rPr>
              <w:t>low client-to-staff ratio for intensive services.</w:t>
            </w:r>
          </w:p>
        </w:tc>
      </w:tr>
      <w:tr w:rsidR="002D6B58" w:rsidRPr="00116C79" w14:paraId="1EDD3487" w14:textId="77777777" w:rsidTr="00DD30EB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4CF2D855" w14:textId="77777777" w:rsidR="002D6B58" w:rsidRPr="00116C79" w:rsidRDefault="002D6B58" w:rsidP="00DD30EB">
            <w:pPr>
              <w:rPr>
                <w:sz w:val="22"/>
                <w:szCs w:val="22"/>
              </w:rPr>
            </w:pPr>
            <w:r w:rsidRPr="00116C79">
              <w:rPr>
                <w:b/>
                <w:bCs/>
                <w:sz w:val="22"/>
                <w:szCs w:val="22"/>
              </w:rPr>
              <w:t>Rental Subsidies (Housing)</w:t>
            </w:r>
          </w:p>
        </w:tc>
        <w:tc>
          <w:tcPr>
            <w:tcW w:w="1230" w:type="dxa"/>
            <w:vAlign w:val="center"/>
            <w:hideMark/>
          </w:tcPr>
          <w:p w14:paraId="1B62086D" w14:textId="77777777" w:rsidR="002D6B58" w:rsidRPr="00116C79" w:rsidRDefault="002D6B58" w:rsidP="00DD30EB">
            <w:pPr>
              <w:rPr>
                <w:sz w:val="22"/>
                <w:szCs w:val="22"/>
              </w:rPr>
            </w:pPr>
            <w:r w:rsidRPr="00116C79">
              <w:rPr>
                <w:sz w:val="22"/>
                <w:szCs w:val="22"/>
              </w:rPr>
              <w:t>$800,000</w:t>
            </w:r>
          </w:p>
        </w:tc>
        <w:tc>
          <w:tcPr>
            <w:tcW w:w="7605" w:type="dxa"/>
            <w:vAlign w:val="center"/>
            <w:hideMark/>
          </w:tcPr>
          <w:p w14:paraId="1AEA0562" w14:textId="77777777" w:rsidR="002D6B58" w:rsidRPr="00116C79" w:rsidRDefault="002D6B58" w:rsidP="00DD30EB">
            <w:pPr>
              <w:rPr>
                <w:sz w:val="22"/>
                <w:szCs w:val="22"/>
              </w:rPr>
            </w:pPr>
            <w:r w:rsidRPr="00116C79">
              <w:rPr>
                <w:sz w:val="22"/>
                <w:szCs w:val="22"/>
              </w:rPr>
              <w:t>Participant rent and utilities subsidies (≈ $12–14K/year per client). Assumes average ~$1,000/month rent per unit in target regions, including security deposits and a contingency for vacancies.</w:t>
            </w:r>
          </w:p>
        </w:tc>
      </w:tr>
      <w:tr w:rsidR="002D6B58" w:rsidRPr="00116C79" w14:paraId="6724EB3D" w14:textId="77777777" w:rsidTr="00DD30EB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2734F42A" w14:textId="77777777" w:rsidR="002D6B58" w:rsidRPr="00116C79" w:rsidRDefault="002D6B58" w:rsidP="00DD30EB">
            <w:pPr>
              <w:rPr>
                <w:sz w:val="22"/>
                <w:szCs w:val="22"/>
              </w:rPr>
            </w:pPr>
            <w:r w:rsidRPr="00116C79">
              <w:rPr>
                <w:b/>
                <w:bCs/>
                <w:sz w:val="22"/>
                <w:szCs w:val="22"/>
              </w:rPr>
              <w:t>Participant Support &amp; Goods</w:t>
            </w:r>
          </w:p>
        </w:tc>
        <w:tc>
          <w:tcPr>
            <w:tcW w:w="1230" w:type="dxa"/>
            <w:vAlign w:val="center"/>
            <w:hideMark/>
          </w:tcPr>
          <w:p w14:paraId="3587AFEC" w14:textId="77777777" w:rsidR="002D6B58" w:rsidRPr="00116C79" w:rsidRDefault="002D6B58" w:rsidP="00DD30EB">
            <w:pPr>
              <w:rPr>
                <w:sz w:val="22"/>
                <w:szCs w:val="22"/>
              </w:rPr>
            </w:pPr>
            <w:r w:rsidRPr="00116C79">
              <w:rPr>
                <w:sz w:val="22"/>
                <w:szCs w:val="22"/>
              </w:rPr>
              <w:t>$200,000</w:t>
            </w:r>
          </w:p>
        </w:tc>
        <w:tc>
          <w:tcPr>
            <w:tcW w:w="7605" w:type="dxa"/>
            <w:vAlign w:val="center"/>
            <w:hideMark/>
          </w:tcPr>
          <w:p w14:paraId="3174C135" w14:textId="77777777" w:rsidR="002D6B58" w:rsidRPr="00116C79" w:rsidRDefault="002D6B58" w:rsidP="00DD30EB">
            <w:pPr>
              <w:rPr>
                <w:sz w:val="22"/>
                <w:szCs w:val="22"/>
              </w:rPr>
            </w:pPr>
            <w:r w:rsidRPr="00116C79">
              <w:rPr>
                <w:sz w:val="22"/>
                <w:szCs w:val="22"/>
              </w:rPr>
              <w:t xml:space="preserve">Direct client assistance </w:t>
            </w:r>
            <w:r w:rsidRPr="00A2480E">
              <w:rPr>
                <w:sz w:val="22"/>
                <w:szCs w:val="22"/>
              </w:rPr>
              <w:t>includes move-in kits (furniture, household essentials), emergency groceries and clothing, transportation assistance, and incentive funds (e.g.,</w:t>
            </w:r>
            <w:r w:rsidRPr="00116C79">
              <w:rPr>
                <w:sz w:val="22"/>
                <w:szCs w:val="22"/>
              </w:rPr>
              <w:t xml:space="preserve"> landlord signing bonuses or client stipends for milestones).</w:t>
            </w:r>
          </w:p>
        </w:tc>
      </w:tr>
      <w:tr w:rsidR="002D6B58" w:rsidRPr="00116C79" w14:paraId="143AC7CB" w14:textId="77777777" w:rsidTr="00DD30EB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E616CF6" w14:textId="77777777" w:rsidR="002D6B58" w:rsidRPr="00116C79" w:rsidRDefault="002D6B58" w:rsidP="00DD30EB">
            <w:pPr>
              <w:rPr>
                <w:sz w:val="22"/>
                <w:szCs w:val="22"/>
              </w:rPr>
            </w:pPr>
            <w:r w:rsidRPr="00116C79">
              <w:rPr>
                <w:b/>
                <w:bCs/>
                <w:sz w:val="22"/>
                <w:szCs w:val="22"/>
              </w:rPr>
              <w:t>Administrative &amp; Indirect</w:t>
            </w:r>
          </w:p>
        </w:tc>
        <w:tc>
          <w:tcPr>
            <w:tcW w:w="1230" w:type="dxa"/>
            <w:vAlign w:val="center"/>
            <w:hideMark/>
          </w:tcPr>
          <w:p w14:paraId="4A9DDF20" w14:textId="77777777" w:rsidR="002D6B58" w:rsidRPr="00116C79" w:rsidRDefault="002D6B58" w:rsidP="00DD30EB">
            <w:pPr>
              <w:rPr>
                <w:sz w:val="22"/>
                <w:szCs w:val="22"/>
              </w:rPr>
            </w:pPr>
            <w:r w:rsidRPr="00116C79">
              <w:rPr>
                <w:sz w:val="22"/>
                <w:szCs w:val="22"/>
              </w:rPr>
              <w:t>$1,000,000</w:t>
            </w:r>
          </w:p>
        </w:tc>
        <w:tc>
          <w:tcPr>
            <w:tcW w:w="7605" w:type="dxa"/>
            <w:vAlign w:val="center"/>
            <w:hideMark/>
          </w:tcPr>
          <w:p w14:paraId="2585AC96" w14:textId="77777777" w:rsidR="002D6B58" w:rsidRPr="00116C79" w:rsidRDefault="002D6B58" w:rsidP="00DD30EB">
            <w:pPr>
              <w:rPr>
                <w:sz w:val="22"/>
                <w:szCs w:val="22"/>
              </w:rPr>
            </w:pPr>
            <w:r w:rsidRPr="00116C79">
              <w:rPr>
                <w:sz w:val="22"/>
                <w:szCs w:val="22"/>
              </w:rPr>
              <w:t>Program administration, indirect costs (e.g.</w:t>
            </w:r>
            <w:r w:rsidRPr="00A2480E">
              <w:rPr>
                <w:sz w:val="22"/>
                <w:szCs w:val="22"/>
              </w:rPr>
              <w:t>,</w:t>
            </w:r>
            <w:r w:rsidRPr="00116C79">
              <w:rPr>
                <w:sz w:val="22"/>
                <w:szCs w:val="22"/>
              </w:rPr>
              <w:t xml:space="preserve"> agency overhead, facilities, IT support), and development of the ECR data system. Supports program management, finance, and reporting functions (estimated ~33% of total budget).</w:t>
            </w:r>
          </w:p>
        </w:tc>
      </w:tr>
    </w:tbl>
    <w:p w14:paraId="2E0F6D4C" w14:textId="1A54A37E" w:rsidR="002D6B58" w:rsidRPr="00116C79" w:rsidRDefault="002D6B58" w:rsidP="0033264E">
      <w:pPr>
        <w:jc w:val="center"/>
        <w:rPr>
          <w:sz w:val="22"/>
          <w:szCs w:val="22"/>
        </w:rPr>
      </w:pPr>
      <w:r w:rsidRPr="00116C79">
        <w:rPr>
          <w:i/>
          <w:iCs/>
          <w:sz w:val="22"/>
          <w:szCs w:val="22"/>
        </w:rPr>
        <w:t>Draft Year 1 Budget for RHI Pilot (serving 60 participants). Cost per participant ≈ $50,000.</w:t>
      </w:r>
    </w:p>
    <w:p w14:paraId="20E0B914" w14:textId="3C10D6E4" w:rsidR="002D6B58" w:rsidRPr="00116C79" w:rsidRDefault="002D6B58" w:rsidP="002D6B58">
      <w:pPr>
        <w:rPr>
          <w:sz w:val="22"/>
          <w:szCs w:val="22"/>
        </w:rPr>
      </w:pPr>
      <w:r w:rsidRPr="00116C79">
        <w:rPr>
          <w:sz w:val="22"/>
          <w:szCs w:val="22"/>
        </w:rPr>
        <w:t xml:space="preserve">This budget provides a </w:t>
      </w:r>
      <w:r w:rsidRPr="0021243B">
        <w:rPr>
          <w:sz w:val="22"/>
          <w:szCs w:val="22"/>
        </w:rPr>
        <w:t>fully costed plan for the first year</w:t>
      </w:r>
      <w:r w:rsidRPr="00116C79">
        <w:rPr>
          <w:sz w:val="22"/>
          <w:szCs w:val="22"/>
        </w:rPr>
        <w:t xml:space="preserve">. Notably, rental assistance </w:t>
      </w:r>
      <w:r w:rsidRPr="00A2480E">
        <w:rPr>
          <w:sz w:val="22"/>
          <w:szCs w:val="22"/>
        </w:rPr>
        <w:t>accounts for roughly one-quarter to one-third of expenses, ensuring that all participants can be housed in safe and</w:t>
      </w:r>
      <w:r w:rsidRPr="00116C79">
        <w:rPr>
          <w:sz w:val="22"/>
          <w:szCs w:val="22"/>
        </w:rPr>
        <w:t xml:space="preserve"> stable units. The staffing and service delivery costs (about one-third of the budget) reflect the intensive case management and support services each participant will receive. Approximately 10% of funds are reserved for direct participant support needs and engagement incentives – a crucial flexibility for removing barriers (for example, purchasing a state ID, work uniform, or providing a landlord incentive payment). Administrative and indirect costs are kept to roughly one-third of the budget, which includes critical infrastructure </w:t>
      </w:r>
      <w:r w:rsidRPr="00A2480E">
        <w:rPr>
          <w:sz w:val="22"/>
          <w:szCs w:val="22"/>
        </w:rPr>
        <w:t>such as the electronic record system, program evaluation, and general agency overhead necessary</w:t>
      </w:r>
      <w:r w:rsidRPr="00116C79">
        <w:rPr>
          <w:sz w:val="22"/>
          <w:szCs w:val="22"/>
        </w:rPr>
        <w:t xml:space="preserve"> to support the pilot. </w:t>
      </w:r>
      <w:r w:rsidRPr="0021243B">
        <w:rPr>
          <w:sz w:val="22"/>
          <w:szCs w:val="22"/>
        </w:rPr>
        <w:t>Overall, the cost model is sustainable and scales appropriately to the target of 60 clients</w:t>
      </w:r>
      <w:r w:rsidRPr="00116C79">
        <w:rPr>
          <w:sz w:val="22"/>
          <w:szCs w:val="22"/>
        </w:rPr>
        <w:t xml:space="preserve">, with funding allocated to the core components that drive housing stability (housing subsidies and case management). </w:t>
      </w:r>
    </w:p>
    <w:p w14:paraId="55E4EBE4" w14:textId="77777777" w:rsidR="002D6B58" w:rsidRDefault="002D6B58"/>
    <w:sectPr w:rsidR="002D6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58"/>
    <w:rsid w:val="002D6B58"/>
    <w:rsid w:val="0033264E"/>
    <w:rsid w:val="00A8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7827"/>
  <w15:chartTrackingRefBased/>
  <w15:docId w15:val="{09441F20-469B-422C-BDFE-8E3AC6B3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B58"/>
  </w:style>
  <w:style w:type="paragraph" w:styleId="Heading1">
    <w:name w:val="heading 1"/>
    <w:basedOn w:val="Normal"/>
    <w:next w:val="Normal"/>
    <w:link w:val="Heading1Char"/>
    <w:uiPriority w:val="9"/>
    <w:qFormat/>
    <w:rsid w:val="002D6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B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B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6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B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B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B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B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B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G K</dc:creator>
  <cp:keywords/>
  <dc:description/>
  <cp:lastModifiedBy>Jagadeesh G K</cp:lastModifiedBy>
  <cp:revision>1</cp:revision>
  <dcterms:created xsi:type="dcterms:W3CDTF">2025-10-01T15:27:00Z</dcterms:created>
  <dcterms:modified xsi:type="dcterms:W3CDTF">2025-10-01T15:40:00Z</dcterms:modified>
</cp:coreProperties>
</file>