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41057" w14:textId="77777777" w:rsidR="00834673" w:rsidRDefault="00834673" w:rsidP="000B12E6">
      <w:pPr>
        <w:spacing w:after="0" w:line="240" w:lineRule="auto"/>
        <w:jc w:val="center"/>
        <w:rPr>
          <w:b/>
          <w:bCs/>
          <w:sz w:val="6"/>
          <w:szCs w:val="6"/>
        </w:rPr>
      </w:pPr>
    </w:p>
    <w:p w14:paraId="05AC98BF" w14:textId="77777777" w:rsidR="00AE6B1A" w:rsidRPr="00AE6B1A" w:rsidRDefault="00AE6B1A" w:rsidP="000B12E6">
      <w:pPr>
        <w:spacing w:after="0" w:line="240" w:lineRule="auto"/>
        <w:jc w:val="center"/>
        <w:rPr>
          <w:b/>
          <w:bCs/>
          <w:sz w:val="6"/>
          <w:szCs w:val="6"/>
        </w:rPr>
      </w:pPr>
    </w:p>
    <w:p w14:paraId="74DDA7F4" w14:textId="4CB15DB0" w:rsidR="00DE471A" w:rsidRDefault="00DE471A" w:rsidP="000B12E6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DE471A">
        <w:rPr>
          <w:b/>
          <w:bCs/>
          <w:sz w:val="28"/>
          <w:szCs w:val="28"/>
        </w:rPr>
        <w:t>B</w:t>
      </w:r>
      <w:r w:rsidR="00CD2D78">
        <w:rPr>
          <w:b/>
          <w:bCs/>
          <w:sz w:val="28"/>
          <w:szCs w:val="28"/>
        </w:rPr>
        <w:t>.</w:t>
      </w:r>
      <w:r w:rsidR="00E45574" w:rsidRPr="00CD2D78">
        <w:rPr>
          <w:b/>
          <w:bCs/>
          <w:sz w:val="28"/>
          <w:szCs w:val="28"/>
        </w:rPr>
        <w:t>R</w:t>
      </w:r>
      <w:r w:rsidR="00CD2D78">
        <w:rPr>
          <w:b/>
          <w:bCs/>
          <w:sz w:val="28"/>
          <w:szCs w:val="28"/>
        </w:rPr>
        <w:t>.</w:t>
      </w:r>
      <w:r w:rsidR="00E45574" w:rsidRPr="00CD2D78">
        <w:rPr>
          <w:b/>
          <w:bCs/>
          <w:sz w:val="28"/>
          <w:szCs w:val="28"/>
        </w:rPr>
        <w:t>I</w:t>
      </w:r>
      <w:r w:rsidR="00CD2D78">
        <w:rPr>
          <w:b/>
          <w:bCs/>
          <w:sz w:val="28"/>
          <w:szCs w:val="28"/>
        </w:rPr>
        <w:t>.</w:t>
      </w:r>
      <w:r w:rsidR="00E45574" w:rsidRPr="00CD2D78">
        <w:rPr>
          <w:b/>
          <w:bCs/>
          <w:sz w:val="28"/>
          <w:szCs w:val="28"/>
        </w:rPr>
        <w:t>D</w:t>
      </w:r>
      <w:r w:rsidR="00CD2D78">
        <w:rPr>
          <w:b/>
          <w:bCs/>
          <w:sz w:val="28"/>
          <w:szCs w:val="28"/>
        </w:rPr>
        <w:t>.</w:t>
      </w:r>
      <w:r w:rsidR="00E45574" w:rsidRPr="00CD2D78">
        <w:rPr>
          <w:b/>
          <w:bCs/>
          <w:sz w:val="28"/>
          <w:szCs w:val="28"/>
        </w:rPr>
        <w:t>G</w:t>
      </w:r>
      <w:r w:rsidR="00CD2D78">
        <w:rPr>
          <w:b/>
          <w:bCs/>
          <w:sz w:val="28"/>
          <w:szCs w:val="28"/>
        </w:rPr>
        <w:t>.</w:t>
      </w:r>
      <w:r w:rsidR="00E45574" w:rsidRPr="00CD2D78">
        <w:rPr>
          <w:b/>
          <w:bCs/>
          <w:sz w:val="28"/>
          <w:szCs w:val="28"/>
        </w:rPr>
        <w:t>E</w:t>
      </w:r>
      <w:r w:rsidR="00CD2D78">
        <w:rPr>
          <w:b/>
          <w:bCs/>
          <w:sz w:val="28"/>
          <w:szCs w:val="28"/>
        </w:rPr>
        <w:t>.</w:t>
      </w:r>
      <w:r w:rsidR="00E45574" w:rsidRPr="00CD2D78">
        <w:rPr>
          <w:b/>
          <w:bCs/>
          <w:sz w:val="28"/>
          <w:szCs w:val="28"/>
        </w:rPr>
        <w:t xml:space="preserve"> To Home </w:t>
      </w:r>
      <w:r w:rsidRPr="00DE471A">
        <w:rPr>
          <w:b/>
          <w:bCs/>
          <w:sz w:val="28"/>
          <w:szCs w:val="28"/>
        </w:rPr>
        <w:t>– Opportunity Notice</w:t>
      </w:r>
    </w:p>
    <w:p w14:paraId="115949E6" w14:textId="5975D92C" w:rsidR="00A311CF" w:rsidRDefault="00A311CF" w:rsidP="000B12E6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90067A">
        <w:rPr>
          <w:b/>
          <w:bCs/>
          <w:sz w:val="20"/>
          <w:szCs w:val="20"/>
        </w:rPr>
        <w:t>Building Resilience, Independence, Determination, Growth, Empowerment</w:t>
      </w:r>
    </w:p>
    <w:p w14:paraId="47A8F4D8" w14:textId="77777777" w:rsidR="00701CED" w:rsidRPr="00B654C6" w:rsidRDefault="00701CED" w:rsidP="000B12E6">
      <w:pPr>
        <w:spacing w:after="0" w:line="240" w:lineRule="auto"/>
        <w:jc w:val="center"/>
        <w:rPr>
          <w:b/>
          <w:bCs/>
          <w:sz w:val="10"/>
          <w:szCs w:val="10"/>
        </w:rPr>
      </w:pPr>
    </w:p>
    <w:p w14:paraId="53BCC36D" w14:textId="6C9DE6A5" w:rsidR="00DE471A" w:rsidRPr="00DE471A" w:rsidRDefault="00DE471A" w:rsidP="000B12E6">
      <w:pPr>
        <w:spacing w:after="0" w:line="240" w:lineRule="auto"/>
        <w:jc w:val="center"/>
      </w:pPr>
      <w:r w:rsidRPr="00DE471A">
        <w:rPr>
          <w:b/>
          <w:bCs/>
          <w:sz w:val="23"/>
          <w:szCs w:val="23"/>
        </w:rPr>
        <w:t>Counties: Madison, Sangamon and St</w:t>
      </w:r>
      <w:r w:rsidR="00CD2D78" w:rsidRPr="0090067A">
        <w:rPr>
          <w:b/>
          <w:bCs/>
          <w:sz w:val="23"/>
          <w:szCs w:val="23"/>
        </w:rPr>
        <w:t>.</w:t>
      </w:r>
      <w:r w:rsidRPr="00DE471A">
        <w:rPr>
          <w:b/>
          <w:bCs/>
          <w:sz w:val="23"/>
          <w:szCs w:val="23"/>
        </w:rPr>
        <w:t xml:space="preserve"> Clair</w:t>
      </w:r>
      <w:r w:rsidR="00CD2D78" w:rsidRPr="0090067A">
        <w:rPr>
          <w:b/>
          <w:bCs/>
          <w:sz w:val="23"/>
          <w:szCs w:val="23"/>
        </w:rPr>
        <w:t>, IL</w:t>
      </w:r>
      <w:r w:rsidRPr="00DE471A">
        <w:rPr>
          <w:b/>
          <w:bCs/>
          <w:sz w:val="23"/>
          <w:szCs w:val="23"/>
        </w:rPr>
        <w:t>   |   Target Go</w:t>
      </w:r>
      <w:r w:rsidRPr="00DE471A">
        <w:rPr>
          <w:b/>
          <w:bCs/>
          <w:sz w:val="23"/>
          <w:szCs w:val="23"/>
        </w:rPr>
        <w:noBreakHyphen/>
        <w:t xml:space="preserve">Live: </w:t>
      </w:r>
      <w:r w:rsidR="00CD2D78" w:rsidRPr="0090067A">
        <w:rPr>
          <w:b/>
          <w:bCs/>
          <w:sz w:val="23"/>
          <w:szCs w:val="23"/>
        </w:rPr>
        <w:t>Jan</w:t>
      </w:r>
      <w:r w:rsidRPr="00DE471A">
        <w:rPr>
          <w:b/>
          <w:bCs/>
          <w:sz w:val="23"/>
          <w:szCs w:val="23"/>
        </w:rPr>
        <w:t xml:space="preserve"> 1, </w:t>
      </w:r>
      <w:proofErr w:type="gramStart"/>
      <w:r w:rsidRPr="00DE471A">
        <w:rPr>
          <w:b/>
          <w:bCs/>
          <w:sz w:val="23"/>
          <w:szCs w:val="23"/>
        </w:rPr>
        <w:t>202</w:t>
      </w:r>
      <w:r w:rsidR="00CD2D78" w:rsidRPr="0090067A">
        <w:rPr>
          <w:b/>
          <w:bCs/>
          <w:sz w:val="23"/>
          <w:szCs w:val="23"/>
        </w:rPr>
        <w:t>6</w:t>
      </w:r>
      <w:proofErr w:type="gramEnd"/>
      <w:r w:rsidRPr="00DE471A">
        <w:rPr>
          <w:b/>
          <w:bCs/>
          <w:sz w:val="23"/>
          <w:szCs w:val="23"/>
        </w:rPr>
        <w:t>   |   Lead Agency: TASC</w:t>
      </w:r>
      <w:r w:rsidR="000B12E6" w:rsidRPr="0090067A">
        <w:rPr>
          <w:b/>
          <w:bCs/>
          <w:sz w:val="23"/>
          <w:szCs w:val="23"/>
        </w:rPr>
        <w:br/>
      </w:r>
      <w:r w:rsidRPr="00DE471A">
        <w:t> </w:t>
      </w:r>
    </w:p>
    <w:p w14:paraId="0BA21008" w14:textId="1015F5DC" w:rsidR="00DE471A" w:rsidRPr="00DE471A" w:rsidRDefault="00CD2D78" w:rsidP="000B12E6">
      <w:pPr>
        <w:spacing w:after="0" w:line="240" w:lineRule="auto"/>
        <w:rPr>
          <w:b/>
          <w:bCs/>
        </w:rPr>
      </w:pPr>
      <w:r>
        <w:rPr>
          <w:b/>
          <w:bCs/>
        </w:rPr>
        <w:t>SUMMARY</w:t>
      </w:r>
      <w:r w:rsidR="00DE471A" w:rsidRPr="00DE471A">
        <w:rPr>
          <w:b/>
          <w:bCs/>
        </w:rPr>
        <w:t>:  </w:t>
      </w:r>
    </w:p>
    <w:p w14:paraId="295EBC7E" w14:textId="642E2607" w:rsidR="000B12E6" w:rsidRDefault="00CD2D78" w:rsidP="000B12E6">
      <w:pPr>
        <w:spacing w:after="0" w:line="240" w:lineRule="auto"/>
      </w:pPr>
      <w:r>
        <w:t>B.R.I.D.G.E. To Home (B2H) is a</w:t>
      </w:r>
      <w:r w:rsidR="00DE471A" w:rsidRPr="00DE471A">
        <w:t xml:space="preserve"> supportive housing pilot led by TASC to help individuals returning home from the Illinois Department of Corrections (IDOC) secure and keep safe, stable housing. The program pairs lease-up support with coordinated </w:t>
      </w:r>
      <w:r w:rsidR="009B16F0">
        <w:t xml:space="preserve">wrap around </w:t>
      </w:r>
      <w:r w:rsidR="00DE471A" w:rsidRPr="00DE471A">
        <w:t>services</w:t>
      </w:r>
      <w:r w:rsidR="009B16F0">
        <w:t xml:space="preserve"> and monetary incentives. </w:t>
      </w:r>
    </w:p>
    <w:p w14:paraId="2FC6E29E" w14:textId="77777777" w:rsidR="000B12E6" w:rsidRDefault="000B12E6" w:rsidP="000B12E6">
      <w:pPr>
        <w:spacing w:after="0" w:line="240" w:lineRule="auto"/>
      </w:pPr>
    </w:p>
    <w:p w14:paraId="5CA844C4" w14:textId="79FF876F" w:rsidR="004878B5" w:rsidRPr="000C61DD" w:rsidRDefault="004878B5" w:rsidP="000B12E6">
      <w:pPr>
        <w:spacing w:after="0" w:line="240" w:lineRule="auto"/>
        <w:rPr>
          <w:rFonts w:cs="Arial"/>
        </w:rPr>
      </w:pPr>
      <w:r>
        <w:rPr>
          <w:b/>
          <w:bCs/>
        </w:rPr>
        <w:t>BACKGROUND:</w:t>
      </w:r>
    </w:p>
    <w:p w14:paraId="5CA10756" w14:textId="15B12E8B" w:rsidR="000B12E6" w:rsidRDefault="006B3A1D" w:rsidP="000B12E6">
      <w:pPr>
        <w:spacing w:after="0" w:line="240" w:lineRule="auto"/>
        <w:rPr>
          <w:rFonts w:cs="Arial"/>
        </w:rPr>
      </w:pPr>
      <w:r>
        <w:rPr>
          <w:rFonts w:cs="Arial"/>
        </w:rPr>
        <w:t>Justice impacted</w:t>
      </w:r>
      <w:r w:rsidR="00EA648A" w:rsidRPr="00AA64A6">
        <w:rPr>
          <w:rFonts w:cs="Arial"/>
        </w:rPr>
        <w:t xml:space="preserve"> </w:t>
      </w:r>
      <w:r w:rsidR="0024747E">
        <w:rPr>
          <w:rFonts w:cs="Arial"/>
        </w:rPr>
        <w:t xml:space="preserve">individuals </w:t>
      </w:r>
      <w:r w:rsidR="00EA648A" w:rsidRPr="00AA64A6">
        <w:rPr>
          <w:rFonts w:cs="Arial"/>
        </w:rPr>
        <w:t>face a significantly higher risk of homelessness. In the US, over 50,000 people enter shelters directly from correctional facilities each year</w:t>
      </w:r>
      <w:r w:rsidR="000C61DD">
        <w:rPr>
          <w:rFonts w:cs="Arial"/>
        </w:rPr>
        <w:t>.</w:t>
      </w:r>
      <w:r w:rsidR="009B16F0">
        <w:rPr>
          <w:rFonts w:cs="Arial"/>
        </w:rPr>
        <w:t xml:space="preserve"> </w:t>
      </w:r>
      <w:r w:rsidR="000C61DD">
        <w:rPr>
          <w:rFonts w:cs="Arial"/>
        </w:rPr>
        <w:t xml:space="preserve">B2H aims to remove reentry housing barriers </w:t>
      </w:r>
      <w:r w:rsidR="000C61DD" w:rsidRPr="000C61DD">
        <w:rPr>
          <w:rFonts w:cs="Arial"/>
        </w:rPr>
        <w:t>and the “revolving door” cycle that so many former</w:t>
      </w:r>
      <w:r w:rsidR="000B12E6">
        <w:rPr>
          <w:rFonts w:cs="Arial"/>
        </w:rPr>
        <w:t>ly</w:t>
      </w:r>
      <w:r w:rsidR="000C61DD" w:rsidRPr="000C61DD">
        <w:rPr>
          <w:rFonts w:cs="Arial"/>
        </w:rPr>
        <w:t xml:space="preserve"> incarcerated individuals face.</w:t>
      </w:r>
      <w:r w:rsidR="000C61DD">
        <w:rPr>
          <w:rFonts w:cs="Arial"/>
        </w:rPr>
        <w:t xml:space="preserve">  </w:t>
      </w:r>
    </w:p>
    <w:p w14:paraId="201C7631" w14:textId="7EC16733" w:rsidR="000C61DD" w:rsidRDefault="000C61DD" w:rsidP="000B12E6">
      <w:pPr>
        <w:spacing w:after="0" w:line="240" w:lineRule="auto"/>
        <w:rPr>
          <w:rFonts w:cs="Arial"/>
        </w:rPr>
      </w:pPr>
      <w:r>
        <w:rPr>
          <w:rFonts w:cs="Arial"/>
        </w:rPr>
        <w:t>We have more than 40 years of experience successfully</w:t>
      </w:r>
      <w:r w:rsidR="009B16F0">
        <w:rPr>
          <w:rFonts w:cs="Arial"/>
        </w:rPr>
        <w:t xml:space="preserve"> diverting people out of the justice system and into care in the community.</w:t>
      </w:r>
    </w:p>
    <w:p w14:paraId="4D0B4443" w14:textId="77777777" w:rsidR="00655F96" w:rsidRDefault="00655F96" w:rsidP="000B12E6">
      <w:pPr>
        <w:spacing w:after="0" w:line="240" w:lineRule="auto"/>
        <w:rPr>
          <w:rFonts w:cs="Arial"/>
        </w:rPr>
      </w:pPr>
    </w:p>
    <w:p w14:paraId="65CC1193" w14:textId="65627632" w:rsidR="00A311CF" w:rsidRPr="00655F96" w:rsidRDefault="00655F96" w:rsidP="000B12E6">
      <w:pPr>
        <w:spacing w:after="0" w:line="240" w:lineRule="auto"/>
        <w:rPr>
          <w:rFonts w:cs="Arial"/>
        </w:rPr>
      </w:pPr>
      <w:r w:rsidRPr="00655F96">
        <w:rPr>
          <w:rFonts w:cs="Arial"/>
          <w:b/>
          <w:bCs/>
        </w:rPr>
        <w:t>KEY BENEFITS:</w:t>
      </w:r>
    </w:p>
    <w:p w14:paraId="536EB640" w14:textId="0D5D588C" w:rsidR="00A311CF" w:rsidRPr="00A311CF" w:rsidRDefault="00A311CF" w:rsidP="00A311CF">
      <w:pPr>
        <w:spacing w:after="0" w:line="240" w:lineRule="auto"/>
        <w:rPr>
          <w:rFonts w:cs="Arial"/>
          <w:b/>
          <w:bCs/>
        </w:rPr>
      </w:pPr>
      <w:r w:rsidRPr="00655F96">
        <w:rPr>
          <w:rFonts w:cs="Arial"/>
          <w:b/>
          <w:bCs/>
        </w:rPr>
        <w:t>Landlords</w:t>
      </w:r>
      <w:r w:rsidR="00655F96" w:rsidRPr="00655F96">
        <w:rPr>
          <w:rFonts w:cs="Arial"/>
          <w:b/>
          <w:bCs/>
        </w:rPr>
        <w:t>:</w:t>
      </w:r>
    </w:p>
    <w:p w14:paraId="501A0D96" w14:textId="6DF62BD2" w:rsidR="00A311CF" w:rsidRPr="00655F96" w:rsidRDefault="00A311CF" w:rsidP="00655F96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cs="Arial"/>
        </w:rPr>
      </w:pPr>
      <w:r w:rsidRPr="0039247C">
        <w:rPr>
          <w:rFonts w:cs="Arial"/>
          <w:b/>
          <w:bCs/>
        </w:rPr>
        <w:t>Earn Incentives</w:t>
      </w:r>
      <w:r w:rsidR="0090067A" w:rsidRPr="00655F96">
        <w:rPr>
          <w:rFonts w:cs="Arial"/>
        </w:rPr>
        <w:t xml:space="preserve"> </w:t>
      </w:r>
      <w:r w:rsidR="00DF6D6D">
        <w:rPr>
          <w:rFonts w:cs="Arial"/>
        </w:rPr>
        <w:t>–</w:t>
      </w:r>
      <w:r w:rsidR="0090067A" w:rsidRPr="00655F96">
        <w:rPr>
          <w:rFonts w:cs="Arial"/>
        </w:rPr>
        <w:t xml:space="preserve"> guaranteed rent payments and</w:t>
      </w:r>
      <w:r w:rsidR="006D0719">
        <w:rPr>
          <w:rFonts w:cs="Arial"/>
        </w:rPr>
        <w:t xml:space="preserve"> eligible for</w:t>
      </w:r>
      <w:r w:rsidR="0090067A" w:rsidRPr="00655F96">
        <w:rPr>
          <w:rFonts w:cs="Arial"/>
        </w:rPr>
        <w:t xml:space="preserve"> other incentives</w:t>
      </w:r>
    </w:p>
    <w:p w14:paraId="6DAA6577" w14:textId="52BFDFA0" w:rsidR="00A311CF" w:rsidRPr="00655F96" w:rsidRDefault="00A311CF" w:rsidP="00655F96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cs="Arial"/>
        </w:rPr>
      </w:pPr>
      <w:r w:rsidRPr="0039247C">
        <w:rPr>
          <w:rFonts w:cs="Arial"/>
          <w:b/>
          <w:bCs/>
        </w:rPr>
        <w:t>Dedicated Case Managers</w:t>
      </w:r>
      <w:r w:rsidR="0090067A" w:rsidRPr="00655F96">
        <w:rPr>
          <w:rFonts w:cs="Arial"/>
        </w:rPr>
        <w:t xml:space="preserve"> - o</w:t>
      </w:r>
      <w:r w:rsidRPr="00655F96">
        <w:rPr>
          <w:rFonts w:cs="Arial"/>
        </w:rPr>
        <w:t>ngoing support from trained housing and case management professionals who partner with you to ensure tenant stability and successful placements</w:t>
      </w:r>
    </w:p>
    <w:p w14:paraId="49D652D4" w14:textId="34B9B7ED" w:rsidR="00A311CF" w:rsidRPr="00655F96" w:rsidRDefault="00A311CF" w:rsidP="00655F96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cs="Arial"/>
        </w:rPr>
      </w:pPr>
      <w:r w:rsidRPr="0039247C">
        <w:rPr>
          <w:rFonts w:cs="Arial"/>
          <w:b/>
          <w:bCs/>
        </w:rPr>
        <w:t>24/7 Hotline for Landlords</w:t>
      </w:r>
      <w:r w:rsidR="0090067A" w:rsidRPr="00655F96">
        <w:rPr>
          <w:rFonts w:cs="Arial"/>
        </w:rPr>
        <w:t xml:space="preserve"> - </w:t>
      </w:r>
      <w:r w:rsidR="00655F96" w:rsidRPr="00655F96">
        <w:rPr>
          <w:rFonts w:cs="Arial"/>
        </w:rPr>
        <w:t>i</w:t>
      </w:r>
      <w:r w:rsidRPr="00655F96">
        <w:rPr>
          <w:rFonts w:cs="Arial"/>
        </w:rPr>
        <w:t xml:space="preserve">mmediate access to a dedicated hotline </w:t>
      </w:r>
    </w:p>
    <w:p w14:paraId="7CDAFD64" w14:textId="2119D0EA" w:rsidR="00A311CF" w:rsidRPr="00655F96" w:rsidRDefault="00655F96" w:rsidP="00655F96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rFonts w:cs="Arial"/>
        </w:rPr>
      </w:pPr>
      <w:r>
        <w:rPr>
          <w:rFonts w:cs="Arial"/>
        </w:rPr>
        <w:t xml:space="preserve">  </w:t>
      </w:r>
      <w:r w:rsidR="00A311CF" w:rsidRPr="0039247C">
        <w:rPr>
          <w:rFonts w:cs="Arial"/>
          <w:b/>
          <w:bCs/>
        </w:rPr>
        <w:t>Streamlined Partnership</w:t>
      </w:r>
      <w:r w:rsidR="0090067A" w:rsidRPr="00655F96">
        <w:rPr>
          <w:rFonts w:cs="Arial"/>
        </w:rPr>
        <w:t xml:space="preserve"> - </w:t>
      </w:r>
      <w:r w:rsidR="00A311CF" w:rsidRPr="00655F96">
        <w:rPr>
          <w:rFonts w:cs="Arial"/>
        </w:rPr>
        <w:t>clear guidance, standardized forms, and consistent communication</w:t>
      </w:r>
    </w:p>
    <w:p w14:paraId="33987586" w14:textId="77777777" w:rsidR="0039247C" w:rsidRDefault="0039247C" w:rsidP="00A311CF">
      <w:pPr>
        <w:spacing w:after="0" w:line="240" w:lineRule="auto"/>
        <w:rPr>
          <w:rFonts w:cs="Arial"/>
          <w:b/>
          <w:bCs/>
        </w:rPr>
      </w:pPr>
    </w:p>
    <w:p w14:paraId="629E906A" w14:textId="6DAD7CC5" w:rsidR="00A311CF" w:rsidRPr="00655F96" w:rsidRDefault="00A311CF" w:rsidP="00A311CF">
      <w:pPr>
        <w:spacing w:after="0" w:line="240" w:lineRule="auto"/>
        <w:rPr>
          <w:rFonts w:cs="Arial"/>
          <w:b/>
          <w:bCs/>
        </w:rPr>
      </w:pPr>
      <w:r w:rsidRPr="00655F96">
        <w:rPr>
          <w:rFonts w:cs="Arial"/>
          <w:b/>
          <w:bCs/>
        </w:rPr>
        <w:t>Agencies</w:t>
      </w:r>
      <w:r w:rsidR="00655F96" w:rsidRPr="00655F96">
        <w:rPr>
          <w:rFonts w:cs="Arial"/>
          <w:b/>
          <w:bCs/>
        </w:rPr>
        <w:t>:</w:t>
      </w:r>
    </w:p>
    <w:p w14:paraId="584AB8B4" w14:textId="17A94726" w:rsidR="00A311CF" w:rsidRPr="00655F96" w:rsidRDefault="00A311CF" w:rsidP="0039247C">
      <w:pPr>
        <w:pStyle w:val="ListParagraph"/>
        <w:numPr>
          <w:ilvl w:val="0"/>
          <w:numId w:val="7"/>
        </w:numPr>
        <w:spacing w:after="0"/>
        <w:ind w:left="360"/>
      </w:pPr>
      <w:r w:rsidRPr="0039247C">
        <w:rPr>
          <w:b/>
          <w:bCs/>
        </w:rPr>
        <w:t>Clear Referral Process</w:t>
      </w:r>
      <w:r w:rsidR="00655F96" w:rsidRPr="00655F96">
        <w:t xml:space="preserve"> - c</w:t>
      </w:r>
      <w:r w:rsidRPr="006C3D4B">
        <w:t xml:space="preserve">onnect </w:t>
      </w:r>
      <w:r w:rsidR="00655F96" w:rsidRPr="00655F96">
        <w:t>your</w:t>
      </w:r>
      <w:r w:rsidRPr="006C3D4B">
        <w:t xml:space="preserve"> clients through </w:t>
      </w:r>
      <w:r w:rsidR="0039247C">
        <w:t xml:space="preserve">a </w:t>
      </w:r>
      <w:r w:rsidRPr="006C3D4B">
        <w:t xml:space="preserve">streamlined intake </w:t>
      </w:r>
      <w:r w:rsidR="0039247C">
        <w:t>&amp;</w:t>
      </w:r>
      <w:r w:rsidRPr="006C3D4B">
        <w:t xml:space="preserve"> matchin</w:t>
      </w:r>
      <w:r w:rsidR="0039247C">
        <w:t xml:space="preserve">g </w:t>
      </w:r>
      <w:r w:rsidR="0039247C" w:rsidRPr="006C3D4B">
        <w:t>process</w:t>
      </w:r>
    </w:p>
    <w:p w14:paraId="0C5D6D95" w14:textId="10C38F54" w:rsidR="00A311CF" w:rsidRPr="006C3D4B" w:rsidRDefault="00A311CF" w:rsidP="0039247C">
      <w:pPr>
        <w:pStyle w:val="ListParagraph"/>
        <w:numPr>
          <w:ilvl w:val="0"/>
          <w:numId w:val="7"/>
        </w:numPr>
        <w:spacing w:after="0"/>
        <w:ind w:left="360"/>
      </w:pPr>
      <w:r w:rsidRPr="0039247C">
        <w:rPr>
          <w:b/>
          <w:bCs/>
        </w:rPr>
        <w:t>Ongoing Collaboration</w:t>
      </w:r>
      <w:r w:rsidR="00655F96" w:rsidRPr="00655F96">
        <w:t xml:space="preserve"> - a</w:t>
      </w:r>
      <w:r w:rsidRPr="006C3D4B">
        <w:t>gencies participate in case management calls and stay connected with TASC housing liaisons to share updates, resolve issues, and ensure smooth placements</w:t>
      </w:r>
    </w:p>
    <w:p w14:paraId="5AD2B29C" w14:textId="395E404A" w:rsidR="00A311CF" w:rsidRDefault="00A311CF" w:rsidP="0039247C">
      <w:pPr>
        <w:pStyle w:val="ListParagraph"/>
        <w:numPr>
          <w:ilvl w:val="0"/>
          <w:numId w:val="7"/>
        </w:numPr>
        <w:spacing w:after="0"/>
        <w:ind w:left="360"/>
      </w:pPr>
      <w:r w:rsidRPr="0039247C">
        <w:rPr>
          <w:b/>
          <w:bCs/>
        </w:rPr>
        <w:t>Resource Access</w:t>
      </w:r>
      <w:r w:rsidR="00655F96" w:rsidRPr="00655F96">
        <w:t xml:space="preserve"> - g</w:t>
      </w:r>
      <w:r w:rsidRPr="006C3D4B">
        <w:t>ain access to program materials, landlord partnership details, and the broader B2H statewide network to expand opportunities for their clients</w:t>
      </w:r>
    </w:p>
    <w:p w14:paraId="207B9A77" w14:textId="77777777" w:rsidR="00A90C82" w:rsidRPr="006C3D4B" w:rsidRDefault="00A90C82" w:rsidP="00A90C82">
      <w:pPr>
        <w:pStyle w:val="ListParagraph"/>
        <w:spacing w:after="0"/>
        <w:ind w:left="360"/>
      </w:pPr>
    </w:p>
    <w:p w14:paraId="02898998" w14:textId="4C0887F7" w:rsidR="00A311CF" w:rsidRPr="00A90C82" w:rsidRDefault="00523D40" w:rsidP="0090067A">
      <w:pPr>
        <w:spacing w:after="0"/>
        <w:rPr>
          <w:b/>
          <w:bCs/>
        </w:rPr>
      </w:pPr>
      <w:r w:rsidRPr="00A90C82">
        <w:rPr>
          <w:b/>
          <w:bCs/>
        </w:rPr>
        <w:t>FUN</w:t>
      </w:r>
      <w:r w:rsidR="00A90C82" w:rsidRPr="00A90C82">
        <w:rPr>
          <w:b/>
          <w:bCs/>
        </w:rPr>
        <w:t>DING:</w:t>
      </w:r>
    </w:p>
    <w:p w14:paraId="1D2E1AE6" w14:textId="7FDE3C78" w:rsidR="00A90C82" w:rsidRPr="00A90C82" w:rsidRDefault="0024747E" w:rsidP="00A90C82">
      <w:pPr>
        <w:pStyle w:val="ListParagraph"/>
        <w:numPr>
          <w:ilvl w:val="0"/>
          <w:numId w:val="8"/>
        </w:numPr>
        <w:spacing w:after="0"/>
        <w:ind w:hanging="720"/>
      </w:pPr>
      <w:r>
        <w:t>?????</w:t>
      </w:r>
    </w:p>
    <w:p w14:paraId="3BEF5080" w14:textId="77777777" w:rsidR="00A90C82" w:rsidRDefault="00A90C82" w:rsidP="000B12E6">
      <w:pPr>
        <w:spacing w:after="0" w:line="240" w:lineRule="auto"/>
        <w:rPr>
          <w:b/>
          <w:bCs/>
        </w:rPr>
      </w:pPr>
    </w:p>
    <w:p w14:paraId="49BB30F6" w14:textId="68EBDFA3" w:rsidR="00DE471A" w:rsidRDefault="001A72DC" w:rsidP="000B12E6">
      <w:pPr>
        <w:spacing w:after="0" w:line="240" w:lineRule="auto"/>
      </w:pPr>
      <w:r>
        <w:rPr>
          <w:b/>
          <w:bCs/>
        </w:rPr>
        <w:t>NEXT STEPS:</w:t>
      </w:r>
      <w:r w:rsidR="00DE471A" w:rsidRPr="00DE471A">
        <w:rPr>
          <w:b/>
          <w:bCs/>
        </w:rPr>
        <w:t> </w:t>
      </w:r>
      <w:r w:rsidR="00DE471A" w:rsidRPr="00DE471A">
        <w:t> </w:t>
      </w:r>
    </w:p>
    <w:p w14:paraId="49F54D1F" w14:textId="7F3DDD9D" w:rsidR="000B12E6" w:rsidRPr="00064EAD" w:rsidRDefault="000B12E6" w:rsidP="000B12E6">
      <w:pPr>
        <w:pStyle w:val="ListParagraph"/>
        <w:numPr>
          <w:ilvl w:val="0"/>
          <w:numId w:val="4"/>
        </w:numPr>
        <w:spacing w:after="0"/>
      </w:pPr>
      <w:r w:rsidRPr="00064EAD">
        <w:t>Contact us at B2H@tasc.org</w:t>
      </w:r>
    </w:p>
    <w:p w14:paraId="3D9D8036" w14:textId="77777777" w:rsidR="000B12E6" w:rsidRDefault="000B12E6" w:rsidP="000B12E6">
      <w:pPr>
        <w:pStyle w:val="ListParagraph"/>
        <w:numPr>
          <w:ilvl w:val="0"/>
          <w:numId w:val="4"/>
        </w:numPr>
        <w:spacing w:after="0"/>
      </w:pPr>
      <w:r w:rsidRPr="00064EAD">
        <w:t xml:space="preserve">Call us </w:t>
      </w:r>
      <w:proofErr w:type="gramStart"/>
      <w:r w:rsidRPr="00064EAD">
        <w:t>at</w:t>
      </w:r>
      <w:proofErr w:type="gramEnd"/>
      <w:r w:rsidRPr="00064EAD">
        <w:t xml:space="preserve"> (312) 589-7322</w:t>
      </w:r>
    </w:p>
    <w:p w14:paraId="72508700" w14:textId="02BA71DA" w:rsidR="000B12E6" w:rsidRPr="00064EAD" w:rsidRDefault="000B12E6" w:rsidP="000B12E6">
      <w:pPr>
        <w:pStyle w:val="ListParagraph"/>
        <w:numPr>
          <w:ilvl w:val="0"/>
          <w:numId w:val="4"/>
        </w:numPr>
        <w:spacing w:after="0"/>
      </w:pPr>
      <w:r w:rsidRPr="00064EAD">
        <w:t>Submit your Letter of Intent (Interest Form)</w:t>
      </w:r>
      <w:r>
        <w:t xml:space="preserve"> by clicking on the QR Code</w:t>
      </w:r>
    </w:p>
    <w:p w14:paraId="4859D6BE" w14:textId="239C5E2B" w:rsidR="000B12E6" w:rsidRPr="00064EAD" w:rsidRDefault="000B12E6" w:rsidP="000B12E6">
      <w:pPr>
        <w:pStyle w:val="ListParagraph"/>
        <w:numPr>
          <w:ilvl w:val="0"/>
          <w:numId w:val="4"/>
        </w:numPr>
        <w:spacing w:after="0"/>
      </w:pPr>
      <w:r w:rsidRPr="00064EAD">
        <w:t>Join a readiness and onboarding call</w:t>
      </w:r>
    </w:p>
    <w:p w14:paraId="65C16D04" w14:textId="4A88F899" w:rsidR="000B12E6" w:rsidRPr="00064EAD" w:rsidRDefault="000B12E6" w:rsidP="000B12E6">
      <w:pPr>
        <w:pStyle w:val="ListParagraph"/>
        <w:numPr>
          <w:ilvl w:val="0"/>
          <w:numId w:val="4"/>
        </w:numPr>
        <w:spacing w:after="0"/>
      </w:pPr>
      <w:r w:rsidRPr="00064EAD">
        <w:t xml:space="preserve">Begin accepting referrals in collaboration with TASC </w:t>
      </w:r>
    </w:p>
    <w:p w14:paraId="41FD4B4B" w14:textId="22139A0D" w:rsidR="000B12E6" w:rsidRPr="00DE471A" w:rsidRDefault="000B12E6" w:rsidP="000B12E6">
      <w:pPr>
        <w:pStyle w:val="ListParagraph"/>
        <w:numPr>
          <w:ilvl w:val="0"/>
          <w:numId w:val="4"/>
        </w:numPr>
        <w:spacing w:after="0"/>
      </w:pPr>
      <w:r w:rsidRPr="00064EAD">
        <w:t>Become part of a growing housing and services network</w:t>
      </w:r>
    </w:p>
    <w:sectPr w:rsidR="000B12E6" w:rsidRPr="00DE471A" w:rsidSect="00834673">
      <w:headerReference w:type="default" r:id="rId7"/>
      <w:footerReference w:type="default" r:id="rId8"/>
      <w:pgSz w:w="12240" w:h="15840"/>
      <w:pgMar w:top="1714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83273" w14:textId="77777777" w:rsidR="0086485F" w:rsidRDefault="0086485F" w:rsidP="00E4530F">
      <w:pPr>
        <w:spacing w:after="0" w:line="240" w:lineRule="auto"/>
      </w:pPr>
      <w:r>
        <w:separator/>
      </w:r>
    </w:p>
  </w:endnote>
  <w:endnote w:type="continuationSeparator" w:id="0">
    <w:p w14:paraId="0E7DB715" w14:textId="77777777" w:rsidR="0086485F" w:rsidRDefault="0086485F" w:rsidP="00E45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92D4B" w14:textId="1BF0B8F7" w:rsidR="00E4530F" w:rsidRDefault="00E4530F">
    <w:pPr>
      <w:pStyle w:val="Footer"/>
    </w:pPr>
    <w:r w:rsidRPr="00E4530F">
      <w:rPr>
        <w:noProof/>
      </w:rPr>
      <w:drawing>
        <wp:anchor distT="0" distB="0" distL="114300" distR="114300" simplePos="0" relativeHeight="251659264" behindDoc="1" locked="0" layoutInCell="1" allowOverlap="1" wp14:anchorId="7CF4A29C" wp14:editId="006AF7CD">
          <wp:simplePos x="0" y="0"/>
          <wp:positionH relativeFrom="column">
            <wp:posOffset>5474970</wp:posOffset>
          </wp:positionH>
          <wp:positionV relativeFrom="paragraph">
            <wp:posOffset>-1040981</wp:posOffset>
          </wp:positionV>
          <wp:extent cx="1628122" cy="1620101"/>
          <wp:effectExtent l="0" t="0" r="0" b="0"/>
          <wp:wrapNone/>
          <wp:docPr id="1604003309" name="Picture 1" descr="A qr code with a dinosaur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7618811" name="Picture 1" descr="A qr code with a dinosaur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618" cy="1637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B9A62" w14:textId="77777777" w:rsidR="0086485F" w:rsidRDefault="0086485F" w:rsidP="00E4530F">
      <w:pPr>
        <w:spacing w:after="0" w:line="240" w:lineRule="auto"/>
      </w:pPr>
      <w:r>
        <w:separator/>
      </w:r>
    </w:p>
  </w:footnote>
  <w:footnote w:type="continuationSeparator" w:id="0">
    <w:p w14:paraId="02ECC08A" w14:textId="77777777" w:rsidR="0086485F" w:rsidRDefault="0086485F" w:rsidP="00E45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057CF" w14:textId="01B2609B" w:rsidR="00E4530F" w:rsidRDefault="00E4530F" w:rsidP="00E4530F">
    <w:pPr>
      <w:pStyle w:val="Header"/>
      <w:tabs>
        <w:tab w:val="clear" w:pos="4680"/>
        <w:tab w:val="clear" w:pos="9360"/>
        <w:tab w:val="left" w:pos="363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5E80DE0F" wp14:editId="25BB89F4">
          <wp:simplePos x="0" y="0"/>
          <wp:positionH relativeFrom="column">
            <wp:posOffset>1922145</wp:posOffset>
          </wp:positionH>
          <wp:positionV relativeFrom="paragraph">
            <wp:posOffset>-167640</wp:posOffset>
          </wp:positionV>
          <wp:extent cx="2381250" cy="919715"/>
          <wp:effectExtent l="0" t="0" r="0" b="0"/>
          <wp:wrapNone/>
          <wp:docPr id="130519167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919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7056C"/>
    <w:multiLevelType w:val="hybridMultilevel"/>
    <w:tmpl w:val="5B6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B74A9"/>
    <w:multiLevelType w:val="hybridMultilevel"/>
    <w:tmpl w:val="AA0AA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E127F"/>
    <w:multiLevelType w:val="hybridMultilevel"/>
    <w:tmpl w:val="9A040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56D5A"/>
    <w:multiLevelType w:val="hybridMultilevel"/>
    <w:tmpl w:val="E7AE8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57808"/>
    <w:multiLevelType w:val="hybridMultilevel"/>
    <w:tmpl w:val="26562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23507"/>
    <w:multiLevelType w:val="hybridMultilevel"/>
    <w:tmpl w:val="38987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13BAE"/>
    <w:multiLevelType w:val="hybridMultilevel"/>
    <w:tmpl w:val="AAD6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F3790"/>
    <w:multiLevelType w:val="multilevel"/>
    <w:tmpl w:val="8280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01373">
    <w:abstractNumId w:val="0"/>
  </w:num>
  <w:num w:numId="2" w16cid:durableId="289744490">
    <w:abstractNumId w:val="5"/>
  </w:num>
  <w:num w:numId="3" w16cid:durableId="1837569122">
    <w:abstractNumId w:val="2"/>
  </w:num>
  <w:num w:numId="4" w16cid:durableId="633097071">
    <w:abstractNumId w:val="3"/>
  </w:num>
  <w:num w:numId="5" w16cid:durableId="500512741">
    <w:abstractNumId w:val="7"/>
  </w:num>
  <w:num w:numId="6" w16cid:durableId="1694499435">
    <w:abstractNumId w:val="4"/>
  </w:num>
  <w:num w:numId="7" w16cid:durableId="963735428">
    <w:abstractNumId w:val="6"/>
  </w:num>
  <w:num w:numId="8" w16cid:durableId="1885554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1A"/>
    <w:rsid w:val="00091D96"/>
    <w:rsid w:val="000B12E6"/>
    <w:rsid w:val="000C61DD"/>
    <w:rsid w:val="000D7218"/>
    <w:rsid w:val="00161634"/>
    <w:rsid w:val="001A72DC"/>
    <w:rsid w:val="0024747E"/>
    <w:rsid w:val="002E028D"/>
    <w:rsid w:val="00380B32"/>
    <w:rsid w:val="0039247C"/>
    <w:rsid w:val="003D303B"/>
    <w:rsid w:val="004878B5"/>
    <w:rsid w:val="00501300"/>
    <w:rsid w:val="00523D40"/>
    <w:rsid w:val="00655F96"/>
    <w:rsid w:val="006B3A1D"/>
    <w:rsid w:val="006D0719"/>
    <w:rsid w:val="006F1DDC"/>
    <w:rsid w:val="00701CED"/>
    <w:rsid w:val="007749B1"/>
    <w:rsid w:val="00834673"/>
    <w:rsid w:val="0086485F"/>
    <w:rsid w:val="0090067A"/>
    <w:rsid w:val="009B16F0"/>
    <w:rsid w:val="00A311CF"/>
    <w:rsid w:val="00A80649"/>
    <w:rsid w:val="00A90C82"/>
    <w:rsid w:val="00AE6B1A"/>
    <w:rsid w:val="00B110F8"/>
    <w:rsid w:val="00B654C6"/>
    <w:rsid w:val="00BD36EE"/>
    <w:rsid w:val="00CD2D78"/>
    <w:rsid w:val="00DE471A"/>
    <w:rsid w:val="00DF6D6D"/>
    <w:rsid w:val="00E4530F"/>
    <w:rsid w:val="00E45574"/>
    <w:rsid w:val="00EA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1D340"/>
  <w15:chartTrackingRefBased/>
  <w15:docId w15:val="{6E91C2B2-25E6-4395-A370-78F2BA7E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7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5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30F"/>
  </w:style>
  <w:style w:type="paragraph" w:styleId="Footer">
    <w:name w:val="footer"/>
    <w:basedOn w:val="Normal"/>
    <w:link w:val="FooterChar"/>
    <w:uiPriority w:val="99"/>
    <w:unhideWhenUsed/>
    <w:rsid w:val="00E45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Robbin Robinson</dc:creator>
  <cp:keywords/>
  <dc:description/>
  <cp:lastModifiedBy>Robbin Robinson</cp:lastModifiedBy>
  <cp:revision>13</cp:revision>
  <cp:lastPrinted>2025-10-02T03:48:00Z</cp:lastPrinted>
  <dcterms:created xsi:type="dcterms:W3CDTF">2025-10-02T18:12:00Z</dcterms:created>
  <dcterms:modified xsi:type="dcterms:W3CDTF">2025-10-02T18:40:00Z</dcterms:modified>
</cp:coreProperties>
</file>