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B1B3" w14:textId="77777777" w:rsidR="00BF7740" w:rsidRPr="00A2480E" w:rsidRDefault="00BF7740" w:rsidP="00BF7740">
      <w:pPr>
        <w:pStyle w:val="Heading1"/>
        <w:jc w:val="center"/>
      </w:pPr>
      <w:bookmarkStart w:id="0" w:name="_Toc202343766"/>
      <w:r w:rsidRPr="00A2480E">
        <w:t>Sub-Contracting Workflow</w:t>
      </w:r>
      <w:bookmarkEnd w:id="0"/>
    </w:p>
    <w:p w14:paraId="71FFB5BD" w14:textId="591BB5DD" w:rsidR="00BF7740" w:rsidRPr="00116C79" w:rsidRDefault="00BF7740" w:rsidP="00BF7740">
      <w:pPr>
        <w:numPr>
          <w:ilvl w:val="0"/>
          <w:numId w:val="1"/>
        </w:numPr>
        <w:rPr>
          <w:sz w:val="22"/>
          <w:szCs w:val="22"/>
        </w:rPr>
      </w:pPr>
      <w:bookmarkStart w:id="1" w:name="_Toc202343767"/>
      <w:r w:rsidRPr="00116C79">
        <w:rPr>
          <w:rStyle w:val="Heading4Char"/>
          <w:sz w:val="22"/>
          <w:szCs w:val="22"/>
        </w:rPr>
        <w:t>Identification &amp; Selection</w:t>
      </w:r>
      <w:bookmarkEnd w:id="1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TASC first identifies any service needs that require a subcontractor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for example, a local mental health provider or a housing agency in the target region. Potential subcontractor agencies are selected based on expertise and capacity to serve the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population. TASC will solicit a Letter of </w:t>
      </w:r>
      <w:r>
        <w:rPr>
          <w:sz w:val="22"/>
          <w:szCs w:val="22"/>
        </w:rPr>
        <w:t xml:space="preserve">Intent (interest form) </w:t>
      </w:r>
      <w:r w:rsidRPr="00116C79">
        <w:rPr>
          <w:sz w:val="22"/>
          <w:szCs w:val="22"/>
        </w:rPr>
        <w:t>from the candidate agency outlining their services under the pilot.</w:t>
      </w:r>
    </w:p>
    <w:p w14:paraId="79EBF60A" w14:textId="77777777" w:rsidR="00BF7740" w:rsidRPr="00116C79" w:rsidRDefault="00BF7740" w:rsidP="00BF7740">
      <w:pPr>
        <w:numPr>
          <w:ilvl w:val="0"/>
          <w:numId w:val="1"/>
        </w:numPr>
        <w:rPr>
          <w:sz w:val="22"/>
          <w:szCs w:val="22"/>
        </w:rPr>
      </w:pPr>
      <w:bookmarkStart w:id="2" w:name="_Toc202343768"/>
      <w:r w:rsidRPr="00116C79">
        <w:rPr>
          <w:rStyle w:val="Heading4Char"/>
          <w:sz w:val="22"/>
          <w:szCs w:val="22"/>
        </w:rPr>
        <w:t>Due Diligence &amp; Documentation</w:t>
      </w:r>
      <w:bookmarkEnd w:id="2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The subcontractor provides required documentation to TASC for review. This typically includes an </w:t>
      </w:r>
      <w:r w:rsidRPr="0021243B">
        <w:rPr>
          <w:sz w:val="22"/>
          <w:szCs w:val="22"/>
        </w:rPr>
        <w:t>LOI/Memorandum of Understanding</w:t>
      </w:r>
      <w:r w:rsidRPr="00116C7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proof of qualifications or licenses, </w:t>
      </w:r>
      <w:r w:rsidRPr="00116C79">
        <w:rPr>
          <w:sz w:val="22"/>
          <w:szCs w:val="22"/>
        </w:rPr>
        <w:t xml:space="preserve">a draft scope of work (program </w:t>
      </w:r>
      <w:r w:rsidRPr="0021243B">
        <w:rPr>
          <w:sz w:val="22"/>
          <w:szCs w:val="22"/>
        </w:rPr>
        <w:t>summary of services</w:t>
      </w:r>
      <w:r w:rsidRPr="00116C79">
        <w:rPr>
          <w:sz w:val="22"/>
          <w:szCs w:val="22"/>
        </w:rPr>
        <w:t xml:space="preserve"> to be provided), staff résumés or credentials, a detailed budget, and administrative documents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W-9 tax form, certificate of insurance). A standardized </w:t>
      </w:r>
      <w:r w:rsidRPr="00116C79">
        <w:rPr>
          <w:b/>
          <w:bCs/>
          <w:sz w:val="22"/>
          <w:szCs w:val="22"/>
        </w:rPr>
        <w:t>documentation checklist</w:t>
      </w:r>
      <w:r w:rsidRPr="00116C79">
        <w:rPr>
          <w:sz w:val="22"/>
          <w:szCs w:val="22"/>
        </w:rPr>
        <w:t xml:space="preserve"> will be used to ensure all necessary items are collected (</w:t>
      </w:r>
      <w:proofErr w:type="gramStart"/>
      <w:r w:rsidRPr="00116C79">
        <w:rPr>
          <w:sz w:val="22"/>
          <w:szCs w:val="22"/>
        </w:rPr>
        <w:t>similar to</w:t>
      </w:r>
      <w:proofErr w:type="gramEnd"/>
      <w:r w:rsidRPr="00116C79">
        <w:rPr>
          <w:sz w:val="22"/>
          <w:szCs w:val="22"/>
        </w:rPr>
        <w:t xml:space="preserve"> the landlord documentation process).</w:t>
      </w:r>
    </w:p>
    <w:p w14:paraId="6C4ACA80" w14:textId="77777777" w:rsidR="00BF7740" w:rsidRPr="00116C79" w:rsidRDefault="00BF7740" w:rsidP="00BF7740">
      <w:pPr>
        <w:numPr>
          <w:ilvl w:val="0"/>
          <w:numId w:val="1"/>
        </w:numPr>
        <w:rPr>
          <w:sz w:val="22"/>
          <w:szCs w:val="22"/>
        </w:rPr>
      </w:pPr>
      <w:bookmarkStart w:id="3" w:name="_Toc202343769"/>
      <w:r w:rsidRPr="00116C79">
        <w:rPr>
          <w:rStyle w:val="Heading4Char"/>
          <w:sz w:val="22"/>
          <w:szCs w:val="22"/>
        </w:rPr>
        <w:t>Approval Process</w:t>
      </w:r>
      <w:bookmarkEnd w:id="3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TASC’s management and the funding agency (ICJIA/IDOC) review the proposed subcontract. The pilot’s assumptions include that any subcontract </w:t>
      </w:r>
      <w:r w:rsidRPr="00A2480E">
        <w:rPr>
          <w:sz w:val="22"/>
          <w:szCs w:val="22"/>
        </w:rPr>
        <w:t>exceeding a certain amount requires the funder's</w:t>
      </w:r>
      <w:r w:rsidRPr="00116C79">
        <w:rPr>
          <w:sz w:val="22"/>
          <w:szCs w:val="22"/>
        </w:rPr>
        <w:t xml:space="preserve"> approval. TASC will submit the subcontractor’s scope and budget for sign-off to ensure alignment with grant objectives and compliance. Once approved, a formal </w:t>
      </w:r>
      <w:r w:rsidRPr="0021243B">
        <w:rPr>
          <w:sz w:val="22"/>
          <w:szCs w:val="22"/>
        </w:rPr>
        <w:t>subcontract agreement</w:t>
      </w:r>
      <w:r w:rsidRPr="00116C79">
        <w:rPr>
          <w:sz w:val="22"/>
          <w:szCs w:val="22"/>
        </w:rPr>
        <w:t xml:space="preserve"> is executed, stipulating deliverables, reporting requirements, and payment terms for the partner.</w:t>
      </w:r>
    </w:p>
    <w:p w14:paraId="0C478DDC" w14:textId="0AB6FB08" w:rsidR="00BF7740" w:rsidRPr="00116C79" w:rsidRDefault="00BF7740" w:rsidP="00BF7740">
      <w:pPr>
        <w:numPr>
          <w:ilvl w:val="0"/>
          <w:numId w:val="1"/>
        </w:numPr>
        <w:rPr>
          <w:sz w:val="22"/>
          <w:szCs w:val="22"/>
        </w:rPr>
      </w:pPr>
      <w:bookmarkStart w:id="4" w:name="_Toc202343770"/>
      <w:r w:rsidRPr="00116C79">
        <w:rPr>
          <w:rStyle w:val="Heading4Char"/>
          <w:sz w:val="22"/>
          <w:szCs w:val="22"/>
        </w:rPr>
        <w:t>Onboarding &amp; Integration</w:t>
      </w:r>
      <w:bookmarkEnd w:id="4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After contract execution, the subcontractor is </w:t>
      </w:r>
      <w:r w:rsidRPr="00A2480E">
        <w:rPr>
          <w:sz w:val="22"/>
          <w:szCs w:val="22"/>
        </w:rPr>
        <w:t>onboarded</w:t>
      </w:r>
      <w:r w:rsidRPr="00116C79">
        <w:rPr>
          <w:sz w:val="22"/>
          <w:szCs w:val="22"/>
        </w:rPr>
        <w:t xml:space="preserve"> into the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pilot operations. TASC conducts an </w:t>
      </w:r>
      <w:proofErr w:type="gramStart"/>
      <w:r w:rsidRPr="00116C79">
        <w:rPr>
          <w:sz w:val="22"/>
          <w:szCs w:val="22"/>
        </w:rPr>
        <w:t>orientation</w:t>
      </w:r>
      <w:proofErr w:type="gramEnd"/>
      <w:r w:rsidRPr="00116C79">
        <w:rPr>
          <w:sz w:val="22"/>
          <w:szCs w:val="22"/>
        </w:rPr>
        <w:t xml:space="preserve"> so the partner understands the referral workflow, data tracking expectations, and participant forms. Subcontractor staff may receive training </w:t>
      </w:r>
      <w:proofErr w:type="gramStart"/>
      <w:r w:rsidRPr="00116C79">
        <w:rPr>
          <w:sz w:val="22"/>
          <w:szCs w:val="22"/>
        </w:rPr>
        <w:t>on</w:t>
      </w:r>
      <w:proofErr w:type="gramEnd"/>
      <w:r w:rsidRPr="00116C79">
        <w:rPr>
          <w:sz w:val="22"/>
          <w:szCs w:val="22"/>
        </w:rPr>
        <w:t xml:space="preserve"> using the Electronic Client Record (ECR) system if they are to input data. They are granted appropriate access (with role-based permissions) to relevant parts of the system.</w:t>
      </w:r>
    </w:p>
    <w:p w14:paraId="3019E00E" w14:textId="53487D9D" w:rsidR="00BF7740" w:rsidRPr="00116C79" w:rsidRDefault="00BF7740" w:rsidP="00BF7740">
      <w:pPr>
        <w:numPr>
          <w:ilvl w:val="0"/>
          <w:numId w:val="1"/>
        </w:numPr>
        <w:rPr>
          <w:sz w:val="22"/>
          <w:szCs w:val="22"/>
        </w:rPr>
      </w:pPr>
      <w:bookmarkStart w:id="5" w:name="_Toc202343771"/>
      <w:r w:rsidRPr="00116C79">
        <w:rPr>
          <w:rStyle w:val="Heading4Char"/>
          <w:sz w:val="22"/>
          <w:szCs w:val="22"/>
        </w:rPr>
        <w:t>Ongoing Oversight</w:t>
      </w:r>
      <w:bookmarkEnd w:id="5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The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Supervisor or </w:t>
      </w:r>
      <w:r>
        <w:rPr>
          <w:sz w:val="22"/>
          <w:szCs w:val="22"/>
        </w:rPr>
        <w:t xml:space="preserve">Housing </w:t>
      </w:r>
      <w:r w:rsidRPr="00116C79">
        <w:rPr>
          <w:sz w:val="22"/>
          <w:szCs w:val="22"/>
        </w:rPr>
        <w:t>Administrator oversees subcontractor performance as part of overall program management. Regular check-in meetings or reports will be established to monitor service delivery and ensure the sub fulfills its obligations. The subcontractor will submit required reports or data to TASC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monthly service reports or invoices), which TASC will incorporate into overall pilot reporting. Any issues with performance or compliance would be addressed through the oversight process.</w:t>
      </w:r>
    </w:p>
    <w:p w14:paraId="4CBCB0EF" w14:textId="77777777" w:rsidR="00BF7740" w:rsidRDefault="00BF7740"/>
    <w:sectPr w:rsidR="00BF7740" w:rsidSect="00BF774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34BEE"/>
    <w:multiLevelType w:val="multilevel"/>
    <w:tmpl w:val="596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7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0"/>
    <w:rsid w:val="00A80649"/>
    <w:rsid w:val="00B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4BDE"/>
  <w15:chartTrackingRefBased/>
  <w15:docId w15:val="{B8D594D8-E126-4946-A859-9517D01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40"/>
  </w:style>
  <w:style w:type="paragraph" w:styleId="Heading1">
    <w:name w:val="heading 1"/>
    <w:basedOn w:val="Normal"/>
    <w:next w:val="Normal"/>
    <w:link w:val="Heading1Char"/>
    <w:uiPriority w:val="9"/>
    <w:qFormat/>
    <w:rsid w:val="00BF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7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 K</dc:creator>
  <cp:keywords/>
  <dc:description/>
  <cp:lastModifiedBy>Jagadeesh G K</cp:lastModifiedBy>
  <cp:revision>1</cp:revision>
  <dcterms:created xsi:type="dcterms:W3CDTF">2025-10-01T03:12:00Z</dcterms:created>
  <dcterms:modified xsi:type="dcterms:W3CDTF">2025-10-01T03:21:00Z</dcterms:modified>
</cp:coreProperties>
</file>