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eastAsia="PingFang SC"/>
          <w:b/>
          <w:color w:val="0F2D4A"/>
          <w:sz w:val="44"/>
        </w:rPr>
        <w:t>Weekly Pharma News Report</w:t>
      </w:r>
    </w:p>
    <w:p>
      <w:r>
        <w:rPr>
          <w:rFonts w:ascii="Arial" w:hAnsi="Arial" w:eastAsia="PingFang SC"/>
        </w:rPr>
        <w:t>周期： 2026-06-27 至 2026-07-03</w:t>
      </w:r>
    </w:p>
    <w:p>
      <w:r>
        <w:rPr>
          <w:rFonts w:ascii="Arial" w:hAnsi="Arial" w:eastAsia="PingFang SC"/>
        </w:rPr>
        <w:t>数据来源： 微信公众号 RSS / 丁香园 Insight 数据库</w:t>
      </w:r>
    </w:p>
    <w:p>
      <w:r>
        <w:rPr>
          <w:rFonts w:ascii="Arial" w:hAnsi="Arial" w:eastAsia="PingFang SC"/>
        </w:rPr>
        <w:t>生成时间： 2026-07-03T15:48:22+08:00</w:t>
      </w:r>
    </w:p>
    <w:p>
      <w:pPr>
        <w:pStyle w:val="Heading1"/>
      </w:pPr>
      <w:r>
        <w:rPr>
          <w:rFonts w:ascii="Arial" w:hAnsi="Arial" w:eastAsia="PingFang SC"/>
        </w:rPr>
        <w:t>1. Executive Summary 本周核心总结</w:t>
      </w:r>
    </w:p>
    <w:p>
      <w:pPr>
        <w:pStyle w:val="ListBullet"/>
      </w:pPr>
      <w:r>
        <w:rPr>
          <w:rFonts w:ascii="Arial" w:hAnsi="Arial" w:eastAsia="PingFang SC"/>
        </w:rPr>
        <w:t>恒瑞医药ADC管线持续拓展： 其重磅HER2 ADC瑞康曲妥珠单抗针对HER2低表达乳腺癌的新适应症申报上市，进一步巩固其在ADC领域的领先地位。</w:t>
      </w:r>
    </w:p>
    <w:p>
      <w:pPr>
        <w:pStyle w:val="ListBullet"/>
      </w:pPr>
      <w:r>
        <w:rPr>
          <w:rFonts w:ascii="Arial" w:hAnsi="Arial" w:eastAsia="PingFang SC"/>
        </w:rPr>
        <w:t>中国创新药出海势头强劲： 宜联生物B7-H3 ADC拟纳入优先审评，并与罗氏达成高额海外授权；2026上半年中国药企license-out交易总额近千亿美元，MNC（跨国药企）合作深度加深。</w:t>
      </w:r>
    </w:p>
    <w:p>
      <w:pPr>
        <w:pStyle w:val="ListBullet"/>
      </w:pPr>
      <w:r>
        <w:rPr>
          <w:rFonts w:ascii="Arial" w:hAnsi="Arial" w:eastAsia="PingFang SC"/>
        </w:rPr>
        <w:t>国内创新药进入密集收获期： 全球首款双抗ADC、实体瘤CAR-T获批，正大天晴等多款国产新药申报上市，2026下半年有望迎来10余款重磅新药获批。</w:t>
      </w:r>
    </w:p>
    <w:p>
      <w:pPr>
        <w:pStyle w:val="ListBullet"/>
      </w:pPr>
      <w:r>
        <w:rPr>
          <w:rFonts w:ascii="Arial" w:hAnsi="Arial" w:eastAsia="PingFang SC"/>
        </w:rPr>
        <w:t>资本市场局部活跃： 睿健医药一月内完成两轮融资，累计4.7亿元，反映细胞治疗领域仍受资本关注。</w:t>
      </w:r>
    </w:p>
    <w:p>
      <w:pPr>
        <w:pStyle w:val="ListBullet"/>
      </w:pPr>
      <w:r>
        <w:rPr>
          <w:rFonts w:ascii="Arial" w:hAnsi="Arial" w:eastAsia="PingFang SC"/>
        </w:rPr>
        <w:t>包装/供应链相关信号： 本周暂无直接且强烈的包装相关信号，但大量新药获批及申报上市（尤其是注射剂型）预示着未来包装需求的增长潜力。</w:t>
      </w:r>
    </w:p>
    <w:p>
      <w:pPr>
        <w:pStyle w:val="Heading1"/>
      </w:pPr>
      <w:r>
        <w:rPr>
          <w:rFonts w:ascii="Arial" w:hAnsi="Arial" w:eastAsia="PingFang SC"/>
        </w:rPr>
        <w:t>2. Key Themes 本周主要趋势</w:t>
      </w:r>
    </w:p>
    <w:p>
      <w:pPr>
        <w:pStyle w:val="ListBullet"/>
      </w:pPr>
      <w:r>
        <w:rPr>
          <w:rFonts w:ascii="Arial" w:hAnsi="Arial" w:eastAsia="PingFang SC"/>
        </w:rPr>
        <w:t>新药申报/获批： 这是本周最核心的主题。恒瑞、宜联生物、正大天晴、石药集团等多家头部药企均有重磅新药或新适应症申报上市/获批，涵盖ADC、双抗、细胞治疗等多个前沿领域。</w:t>
      </w:r>
    </w:p>
    <w:p>
      <w:pPr>
        <w:pStyle w:val="ListBullet"/>
      </w:pPr>
      <w:r>
        <w:rPr>
          <w:rFonts w:ascii="Arial" w:hAnsi="Arial" w:eastAsia="PingFang SC"/>
        </w:rPr>
        <w:t>创新药出海： 以宜联生物与罗氏为代表的海外授权合作继续保持高热度。本周发布的行业数据分析显示，2026上半年中国药企出海交易总额接近1000亿美元，同比增长40%，MNC与中国药企的战略合作模式日益深化。</w:t>
      </w:r>
    </w:p>
    <w:p>
      <w:pPr>
        <w:pStyle w:val="ListBullet"/>
      </w:pPr>
      <w:r>
        <w:rPr>
          <w:rFonts w:ascii="Arial" w:hAnsi="Arial" w:eastAsia="PingFang SC"/>
        </w:rPr>
        <w:t>融资并购： 睿健医药短期内完成C轮和C+轮融资，显示特定赛道（如细胞治疗）的融资能力依然强劲。</w:t>
      </w:r>
    </w:p>
    <w:p>
      <w:pPr>
        <w:pStyle w:val="ListBullet"/>
      </w:pPr>
      <w:r>
        <w:rPr>
          <w:rFonts w:ascii="Arial" w:hAnsi="Arial" w:eastAsia="PingFang SC"/>
        </w:rPr>
        <w:t>市场商业化： 本周多篇分析文章系统性梳理了国内药企的上半年进展和下半年预期，显示中国创新药正从研发向商业回报过渡，商业化放量成为下一阶段的关注点。</w:t>
      </w:r>
    </w:p>
    <w:p>
      <w:pPr>
        <w:pStyle w:val="ListBullet"/>
      </w:pPr>
      <w:r>
        <w:rPr>
          <w:rFonts w:ascii="Arial" w:hAnsi="Arial" w:eastAsia="PingFang SC"/>
        </w:rPr>
        <w:t>包装/供应链相关机会： 新药获批/申报上市带来的商业化需求是潜在的包装机会，尤其是注射剂、鼻喷雾剂、口服药等剂型。但本周缺乏直接影响包装业务的明确公告。</w:t>
      </w:r>
    </w:p>
    <w:p>
      <w:pPr>
        <w:pStyle w:val="Heading1"/>
      </w:pPr>
      <w:r>
        <w:rPr>
          <w:rFonts w:ascii="Arial" w:hAnsi="Arial" w:eastAsia="PingFang SC"/>
        </w:rPr>
        <w:t>3. Top News 本周重点新闻</w:t>
      </w:r>
    </w:p>
    <w:p>
      <w:pPr>
        <w:pStyle w:val="Heading2"/>
      </w:pPr>
      <w:r>
        <w:rPr>
          <w:rFonts w:ascii="Arial" w:hAnsi="Arial" w:eastAsia="PingFang SC"/>
        </w:rPr>
        <w:t>3.1 恒瑞重磅 ADC 又一适应症申报上市</w:t>
      </w:r>
    </w:p>
    <w:p>
      <w:pPr>
        <w:pStyle w:val="ListBullet"/>
      </w:pPr>
      <w:r>
        <w:rPr>
          <w:rFonts w:ascii="Arial" w:hAnsi="Arial" w:eastAsia="PingFang SC"/>
        </w:rPr>
        <w:t>来源： 丁香园 Insight 数据库</w:t>
      </w:r>
    </w:p>
    <w:p>
      <w:pPr>
        <w:pStyle w:val="ListBullet"/>
      </w:pPr>
      <w:r>
        <w:rPr>
          <w:rFonts w:ascii="Arial" w:hAnsi="Arial" w:eastAsia="PingFang SC"/>
        </w:rPr>
        <w:t>发布时间： 2026-06-30</w:t>
      </w:r>
    </w:p>
    <w:p>
      <w:pPr>
        <w:pStyle w:val="ListBullet"/>
      </w:pPr>
      <w:r>
        <w:rPr>
          <w:rFonts w:ascii="Arial" w:hAnsi="Arial" w:eastAsia="PingFang SC"/>
        </w:rPr>
        <w:t>重要性评分： 18 (High)</w:t>
      </w:r>
    </w:p>
    <w:p>
      <w:pPr>
        <w:pStyle w:val="ListBullet"/>
      </w:pPr>
      <w:r>
        <w:rPr>
          <w:rFonts w:ascii="Arial" w:hAnsi="Arial" w:eastAsia="PingFang SC"/>
        </w:rPr>
        <w:t>分类： 新药申报/获批</w:t>
      </w:r>
    </w:p>
    <w:p>
      <w:pPr>
        <w:pStyle w:val="ListBullet"/>
      </w:pPr>
      <w:r>
        <w:rPr>
          <w:rFonts w:ascii="Arial" w:hAnsi="Arial" w:eastAsia="PingFang SC"/>
        </w:rPr>
        <w:t>一句话 takeaway： 恒瑞医药HER2 ADC瑞康曲妥珠单抗向HER2低表达乳腺癌领域扩展，有望进一步扩大其市场份额。</w:t>
      </w:r>
    </w:p>
    <w:p>
      <w:pPr>
        <w:pStyle w:val="ListBullet"/>
      </w:pPr>
      <w:r>
        <w:rPr>
          <w:rFonts w:ascii="Arial" w:hAnsi="Arial" w:eastAsia="PingFang SC"/>
        </w:rPr>
        <w:t>关键信息：</w:t>
      </w:r>
    </w:p>
    <w:p>
      <w:pPr>
        <w:pStyle w:val="ListBullet"/>
      </w:pPr>
      <w:r>
        <w:rPr>
          <w:rFonts w:ascii="Arial" w:hAnsi="Arial" w:eastAsia="PingFang SC"/>
        </w:rPr>
        <w:t>新适应症为HER2低表达乳腺癌，已纳入优先审评。</w:t>
      </w:r>
    </w:p>
    <w:p>
      <w:pPr>
        <w:pStyle w:val="ListBullet"/>
      </w:pPr>
      <w:r>
        <w:rPr>
          <w:rFonts w:ascii="Arial" w:hAnsi="Arial" w:eastAsia="PingFang SC"/>
        </w:rPr>
        <w:t>临床数据：mPFS 11.0个月，ORR 61.8%。</w:t>
      </w:r>
    </w:p>
    <w:p>
      <w:pPr>
        <w:pStyle w:val="ListBullet"/>
      </w:pPr>
      <w:r>
        <w:rPr>
          <w:rFonts w:ascii="Arial" w:hAnsi="Arial" w:eastAsia="PingFang SC"/>
        </w:rPr>
        <w:t>此前已获批HER2突变非小细胞肺癌和HER2阳性乳腺癌。</w:t>
      </w:r>
    </w:p>
    <w:p>
      <w:pPr>
        <w:pStyle w:val="ListBullet"/>
      </w:pPr>
      <w:r>
        <w:rPr>
          <w:rFonts w:ascii="Arial" w:hAnsi="Arial" w:eastAsia="PingFang SC"/>
        </w:rPr>
        <w:t>涉及公司： 恒瑞医药</w:t>
      </w:r>
    </w:p>
    <w:p>
      <w:pPr>
        <w:pStyle w:val="ListBullet"/>
      </w:pPr>
      <w:r>
        <w:rPr>
          <w:rFonts w:ascii="Arial" w:hAnsi="Arial" w:eastAsia="PingFang SC"/>
        </w:rPr>
        <w:t>涉及药品/靶点/适应症： 瑞康曲妥珠单抗 (SHR-A1811) / HER2 / HER2低表达乳腺癌</w:t>
      </w:r>
    </w:p>
    <w:p>
      <w:pPr>
        <w:pStyle w:val="ListBullet"/>
      </w:pPr>
      <w:r>
        <w:rPr>
          <w:rFonts w:ascii="Arial" w:hAnsi="Arial" w:eastAsia="PingFang SC"/>
        </w:rPr>
        <w:t>市场影响： 适应症扩展将扩大患者基础，驱动销售额增长，并加剧HER2 ADC市场竞争。</w:t>
      </w:r>
    </w:p>
    <w:p>
      <w:pPr>
        <w:pStyle w:val="ListBullet"/>
      </w:pPr>
      <w:r>
        <w:rPr>
          <w:rFonts w:ascii="Arial" w:hAnsi="Arial" w:eastAsia="PingFang SC"/>
        </w:rPr>
        <w:t>Amcor / 包装相关性： 中等。该药为注射用ADC，上市后需要包装解决方案，如西林瓶或预灌封注射器。</w:t>
      </w:r>
    </w:p>
    <w:p>
      <w:pPr>
        <w:pStyle w:val="ListBullet"/>
      </w:pPr>
      <w:r>
        <w:rPr>
          <w:rFonts w:ascii="Arial" w:hAnsi="Arial" w:eastAsia="PingFang SC"/>
        </w:rPr>
        <w:t>原文链接： https://mp.weixin.qq.com/s/hLeMrJJFUenlLdhuP3hdTg</w:t>
      </w:r>
    </w:p>
    <w:p>
      <w:pPr>
        <w:pStyle w:val="Heading2"/>
      </w:pPr>
      <w:r>
        <w:rPr>
          <w:rFonts w:ascii="Arial" w:hAnsi="Arial" w:eastAsia="PingFang SC"/>
        </w:rPr>
        <w:t>3.2 国内进度领先！宜联生物 1 类新药拟纳入优先审评</w:t>
      </w:r>
    </w:p>
    <w:p>
      <w:pPr>
        <w:pStyle w:val="ListBullet"/>
      </w:pPr>
      <w:r>
        <w:rPr>
          <w:rFonts w:ascii="Arial" w:hAnsi="Arial" w:eastAsia="PingFang SC"/>
        </w:rPr>
        <w:t>来源： 丁香园 Insight 数据库</w:t>
      </w:r>
    </w:p>
    <w:p>
      <w:pPr>
        <w:pStyle w:val="ListBullet"/>
      </w:pPr>
      <w:r>
        <w:rPr>
          <w:rFonts w:ascii="Arial" w:hAnsi="Arial" w:eastAsia="PingFang SC"/>
        </w:rPr>
        <w:t>发布时间： 2026-06-30</w:t>
      </w:r>
    </w:p>
    <w:p>
      <w:pPr>
        <w:pStyle w:val="ListBullet"/>
      </w:pPr>
      <w:r>
        <w:rPr>
          <w:rFonts w:ascii="Arial" w:hAnsi="Arial" w:eastAsia="PingFang SC"/>
        </w:rPr>
        <w:t>重要性评分： 18 (High)</w:t>
      </w:r>
    </w:p>
    <w:p>
      <w:pPr>
        <w:pStyle w:val="ListBullet"/>
      </w:pPr>
      <w:r>
        <w:rPr>
          <w:rFonts w:ascii="Arial" w:hAnsi="Arial" w:eastAsia="PingFang SC"/>
        </w:rPr>
        <w:t>分类： 新药申报/获批</w:t>
      </w:r>
    </w:p>
    <w:p>
      <w:pPr>
        <w:pStyle w:val="ListBullet"/>
      </w:pPr>
      <w:r>
        <w:rPr>
          <w:rFonts w:ascii="Arial" w:hAnsi="Arial" w:eastAsia="PingFang SC"/>
        </w:rPr>
        <w:t>一句话 takeaway： 宜联生物B7-H3 ADC YL201在国内获批在望，其与罗氏的重磅合作也凸显了中国ADC的国际竞争力。</w:t>
      </w:r>
    </w:p>
    <w:p>
      <w:pPr>
        <w:pStyle w:val="ListBullet"/>
      </w:pPr>
      <w:r>
        <w:rPr>
          <w:rFonts w:ascii="Arial" w:hAnsi="Arial" w:eastAsia="PingFang SC"/>
        </w:rPr>
        <w:t>关键信息：</w:t>
      </w:r>
    </w:p>
    <w:p>
      <w:pPr>
        <w:pStyle w:val="ListBullet"/>
      </w:pPr>
      <w:r>
        <w:rPr>
          <w:rFonts w:ascii="Arial" w:hAnsi="Arial" w:eastAsia="PingFang SC"/>
        </w:rPr>
        <w:t>适应症为复发或转移性鼻咽癌。</w:t>
      </w:r>
    </w:p>
    <w:p>
      <w:pPr>
        <w:pStyle w:val="ListBullet"/>
      </w:pPr>
      <w:r>
        <w:rPr>
          <w:rFonts w:ascii="Arial" w:hAnsi="Arial" w:eastAsia="PingFang SC"/>
        </w:rPr>
        <w:t>基于TMALIN®技术平台。</w:t>
      </w:r>
    </w:p>
    <w:p>
      <w:pPr>
        <w:pStyle w:val="ListBullet"/>
      </w:pPr>
      <w:r>
        <w:rPr>
          <w:rFonts w:ascii="Arial" w:hAnsi="Arial" w:eastAsia="PingFang SC"/>
        </w:rPr>
        <w:t>已与罗氏达成全球授权合作，首付款及近期里程碑付款5.7亿美元。</w:t>
      </w:r>
    </w:p>
    <w:p>
      <w:pPr>
        <w:pStyle w:val="ListBullet"/>
      </w:pPr>
      <w:r>
        <w:rPr>
          <w:rFonts w:ascii="Arial" w:hAnsi="Arial" w:eastAsia="PingFang SC"/>
        </w:rPr>
        <w:t>全球首个在III期临床中取得阳性结果的B7-H3 ADC。</w:t>
      </w:r>
    </w:p>
    <w:p>
      <w:pPr>
        <w:pStyle w:val="ListBullet"/>
      </w:pPr>
      <w:r>
        <w:rPr>
          <w:rFonts w:ascii="Arial" w:hAnsi="Arial" w:eastAsia="PingFang SC"/>
        </w:rPr>
        <w:t>涉及公司： 宜联生物， 罗氏</w:t>
      </w:r>
    </w:p>
    <w:p>
      <w:pPr>
        <w:pStyle w:val="ListBullet"/>
      </w:pPr>
      <w:r>
        <w:rPr>
          <w:rFonts w:ascii="Arial" w:hAnsi="Arial" w:eastAsia="PingFang SC"/>
        </w:rPr>
        <w:t>涉及药品/靶点/适应症： YL201 / B7-H3 / 鼻咽癌</w:t>
      </w:r>
    </w:p>
    <w:p>
      <w:pPr>
        <w:pStyle w:val="ListBullet"/>
      </w:pPr>
      <w:r>
        <w:rPr>
          <w:rFonts w:ascii="Arial" w:hAnsi="Arial" w:eastAsia="PingFang SC"/>
        </w:rPr>
        <w:t>市场影响： 有望成为国内首个获批的B7-H3 ADC，填补鼻咽癌后线治疗空白，并通过罗氏渠道实现国际化。</w:t>
      </w:r>
    </w:p>
    <w:p>
      <w:pPr>
        <w:pStyle w:val="ListBullet"/>
      </w:pPr>
      <w:r>
        <w:rPr>
          <w:rFonts w:ascii="Arial" w:hAnsi="Arial" w:eastAsia="PingFang SC"/>
        </w:rPr>
        <w:t>Amcor / 包装相关性： 中等。新药上市后需要包装，但文章未提及具体细节。</w:t>
      </w:r>
    </w:p>
    <w:p>
      <w:pPr>
        <w:pStyle w:val="ListBullet"/>
      </w:pPr>
      <w:r>
        <w:rPr>
          <w:rFonts w:ascii="Arial" w:hAnsi="Arial" w:eastAsia="PingFang SC"/>
        </w:rPr>
        <w:t>原文链接： https://mp.weixin.qq.com/s/6wRU-mgWplYMtJMrXP5DiA</w:t>
      </w:r>
    </w:p>
    <w:p>
      <w:pPr>
        <w:pStyle w:val="Heading2"/>
      </w:pPr>
      <w:r>
        <w:rPr>
          <w:rFonts w:ascii="Arial" w:hAnsi="Arial" w:eastAsia="PingFang SC"/>
        </w:rPr>
        <w:t>3.3 2026 下半年，这 10 款重磅新药有望在中国获批上市</w:t>
      </w:r>
    </w:p>
    <w:p>
      <w:pPr>
        <w:pStyle w:val="ListBullet"/>
      </w:pPr>
      <w:r>
        <w:rPr>
          <w:rFonts w:ascii="Arial" w:hAnsi="Arial" w:eastAsia="PingFang SC"/>
        </w:rPr>
        <w:t>来源： 丁香园 Insight 数据库</w:t>
      </w:r>
    </w:p>
    <w:p>
      <w:pPr>
        <w:pStyle w:val="ListBullet"/>
      </w:pPr>
      <w:r>
        <w:rPr>
          <w:rFonts w:ascii="Arial" w:hAnsi="Arial" w:eastAsia="PingFang SC"/>
        </w:rPr>
        <w:t>发布时间： 2026-06-30</w:t>
      </w:r>
    </w:p>
    <w:p>
      <w:pPr>
        <w:pStyle w:val="ListBullet"/>
      </w:pPr>
      <w:r>
        <w:rPr>
          <w:rFonts w:ascii="Arial" w:hAnsi="Arial" w:eastAsia="PingFang SC"/>
        </w:rPr>
        <w:t>重要性评分： 18 (High)</w:t>
      </w:r>
    </w:p>
    <w:p>
      <w:pPr>
        <w:pStyle w:val="ListBullet"/>
      </w:pPr>
      <w:r>
        <w:rPr>
          <w:rFonts w:ascii="Arial" w:hAnsi="Arial" w:eastAsia="PingFang SC"/>
        </w:rPr>
        <w:t>分类： 新药申报/获批</w:t>
      </w:r>
    </w:p>
    <w:p>
      <w:pPr>
        <w:pStyle w:val="ListBullet"/>
      </w:pPr>
      <w:r>
        <w:rPr>
          <w:rFonts w:ascii="Arial" w:hAnsi="Arial" w:eastAsia="PingFang SC"/>
        </w:rPr>
        <w:t>一句话 takeaway： 2026下半年中国将迎来新药获批高峰，覆盖多个治疗领域，商业化潜力巨大。</w:t>
      </w:r>
    </w:p>
    <w:p>
      <w:pPr>
        <w:pStyle w:val="ListBullet"/>
      </w:pPr>
      <w:r>
        <w:rPr>
          <w:rFonts w:ascii="Arial" w:hAnsi="Arial" w:eastAsia="PingFang SC"/>
        </w:rPr>
        <w:t>关键信息：</w:t>
      </w:r>
    </w:p>
    <w:p>
      <w:pPr>
        <w:pStyle w:val="ListBullet"/>
      </w:pPr>
      <w:r>
        <w:rPr>
          <w:rFonts w:ascii="Arial" w:hAnsi="Arial" w:eastAsia="PingFang SC"/>
        </w:rPr>
        <w:t>盘点10款潜在重磅新药，涉及三生制药、恒瑞、BMS、诺华等企业。</w:t>
      </w:r>
    </w:p>
    <w:p>
      <w:pPr>
        <w:pStyle w:val="ListBullet"/>
      </w:pPr>
      <w:r>
        <w:rPr>
          <w:rFonts w:ascii="Arial" w:hAnsi="Arial" w:eastAsia="PingFang SC"/>
        </w:rPr>
        <w:t>覆盖领域：痛风、心血管、罕见病、肿瘤等。</w:t>
      </w:r>
    </w:p>
    <w:p>
      <w:pPr>
        <w:pStyle w:val="ListBullet"/>
      </w:pPr>
      <w:r>
        <w:rPr>
          <w:rFonts w:ascii="Arial" w:hAnsi="Arial" w:eastAsia="PingFang SC"/>
        </w:rPr>
        <w:t>剂型多样：鼻喷雾剂、注射液、口服药等。</w:t>
      </w:r>
    </w:p>
    <w:p>
      <w:pPr>
        <w:pStyle w:val="ListBullet"/>
      </w:pPr>
      <w:r>
        <w:rPr>
          <w:rFonts w:ascii="Arial" w:hAnsi="Arial" w:eastAsia="PingFang SC"/>
        </w:rPr>
        <w:t>涉及公司： 三生制药， 云顶新耀， 武田， 恒瑞医药， 智翔金泰， BMS， 诺华， 药捷安康， 渤健， 和黄医药</w:t>
      </w:r>
    </w:p>
    <w:p>
      <w:pPr>
        <w:pStyle w:val="ListBullet"/>
      </w:pPr>
      <w:r>
        <w:rPr>
          <w:rFonts w:ascii="Arial" w:hAnsi="Arial" w:eastAsia="PingFang SC"/>
        </w:rPr>
        <w:t>涉及药品/靶点/适应症： SSGJ-613 / IL-1β / 痛风； SHR-1918 / ANGPTL3 / 高胆固醇血症； 纬利妥米单抗 / BCMA/CD3 / 多发性骨髓瘤等</w:t>
      </w:r>
    </w:p>
    <w:p>
      <w:pPr>
        <w:pStyle w:val="ListBullet"/>
      </w:pPr>
      <w:r>
        <w:rPr>
          <w:rFonts w:ascii="Arial" w:hAnsi="Arial" w:eastAsia="PingFang SC"/>
        </w:rPr>
        <w:t>市场影响： 若成功获批，将填补多个治疗领域空白，推动相关药企商业化进程，带来显著市场增长。</w:t>
      </w:r>
    </w:p>
    <w:p>
      <w:pPr>
        <w:pStyle w:val="ListBullet"/>
      </w:pPr>
      <w:r>
        <w:rPr>
          <w:rFonts w:ascii="Arial" w:hAnsi="Arial" w:eastAsia="PingFang SC"/>
        </w:rPr>
        <w:t>Amcor / 包装相关性： 低。提供药企未来商业化需求的前瞻性视角，但未直接呈现包装机会。</w:t>
      </w:r>
    </w:p>
    <w:p>
      <w:pPr>
        <w:pStyle w:val="ListBullet"/>
      </w:pPr>
      <w:r>
        <w:rPr>
          <w:rFonts w:ascii="Arial" w:hAnsi="Arial" w:eastAsia="PingFang SC"/>
        </w:rPr>
        <w:t>原文链接： https://mp.weixin.qq.com/s/2zTl0ffZcm5TrZGxleDOhA</w:t>
      </w:r>
    </w:p>
    <w:p>
      <w:pPr>
        <w:pStyle w:val="Heading2"/>
      </w:pPr>
      <w:r>
        <w:rPr>
          <w:rFonts w:ascii="Arial" w:hAnsi="Arial" w:eastAsia="PingFang SC"/>
        </w:rPr>
        <w:t>3.4 全球首款双抗 ADC、全球首款实体瘤 CAR-T 获批，来自中国药企...</w:t>
      </w:r>
    </w:p>
    <w:p>
      <w:pPr>
        <w:pStyle w:val="ListBullet"/>
      </w:pPr>
      <w:r>
        <w:rPr>
          <w:rFonts w:ascii="Arial" w:hAnsi="Arial" w:eastAsia="PingFang SC"/>
        </w:rPr>
        <w:t>来源： 丁香园 Insight 数据库</w:t>
      </w:r>
    </w:p>
    <w:p>
      <w:pPr>
        <w:pStyle w:val="ListBullet"/>
      </w:pPr>
      <w:r>
        <w:rPr>
          <w:rFonts w:ascii="Arial" w:hAnsi="Arial" w:eastAsia="PingFang SC"/>
        </w:rPr>
        <w:t>发布时间： 2026-06-28</w:t>
      </w:r>
    </w:p>
    <w:p>
      <w:pPr>
        <w:pStyle w:val="ListBullet"/>
      </w:pPr>
      <w:r>
        <w:rPr>
          <w:rFonts w:ascii="Arial" w:hAnsi="Arial" w:eastAsia="PingFang SC"/>
        </w:rPr>
        <w:t>重要性评分： 18 (High)</w:t>
      </w:r>
    </w:p>
    <w:p>
      <w:pPr>
        <w:pStyle w:val="ListBullet"/>
      </w:pPr>
      <w:r>
        <w:rPr>
          <w:rFonts w:ascii="Arial" w:hAnsi="Arial" w:eastAsia="PingFang SC"/>
        </w:rPr>
        <w:t>分类： 新药申报/获批</w:t>
      </w:r>
    </w:p>
    <w:p>
      <w:pPr>
        <w:pStyle w:val="ListBullet"/>
      </w:pPr>
      <w:r>
        <w:rPr>
          <w:rFonts w:ascii="Arial" w:hAnsi="Arial" w:eastAsia="PingFang SC"/>
        </w:rPr>
        <w:t>一句话 takeaway： 本周是中国创新药里程碑时刻，全球首创双抗ADC和实体瘤CAR-T获批，显示中国在生物医药前沿领域的突破能力。</w:t>
      </w:r>
    </w:p>
    <w:p>
      <w:pPr>
        <w:pStyle w:val="ListBullet"/>
      </w:pPr>
      <w:r>
        <w:rPr>
          <w:rFonts w:ascii="Arial" w:hAnsi="Arial" w:eastAsia="PingFang SC"/>
        </w:rPr>
        <w:t>关键信息：</w:t>
      </w:r>
    </w:p>
    <w:p>
      <w:pPr>
        <w:pStyle w:val="ListBullet"/>
      </w:pPr>
      <w:r>
        <w:rPr>
          <w:rFonts w:ascii="Arial" w:hAnsi="Arial" w:eastAsia="PingFang SC"/>
        </w:rPr>
        <w:t>全球首款双抗ADC和实体瘤CAR-T均来自中国药企。</w:t>
      </w:r>
    </w:p>
    <w:p>
      <w:pPr>
        <w:pStyle w:val="ListBullet"/>
      </w:pPr>
      <w:r>
        <w:rPr>
          <w:rFonts w:ascii="Arial" w:hAnsi="Arial" w:eastAsia="PingFang SC"/>
        </w:rPr>
        <w:t>正大天晴/礼新医药的CLDN18.2 ADC申报上市。</w:t>
      </w:r>
    </w:p>
    <w:p>
      <w:pPr>
        <w:pStyle w:val="ListBullet"/>
      </w:pPr>
      <w:r>
        <w:rPr>
          <w:rFonts w:ascii="Arial" w:hAnsi="Arial" w:eastAsia="PingFang SC"/>
        </w:rPr>
        <w:t>石药集团B7-H3 ADC拟纳入突破性疗法。</w:t>
      </w:r>
    </w:p>
    <w:p>
      <w:pPr>
        <w:pStyle w:val="ListBullet"/>
      </w:pPr>
      <w:r>
        <w:rPr>
          <w:rFonts w:ascii="Arial" w:hAnsi="Arial" w:eastAsia="PingFang SC"/>
        </w:rPr>
        <w:t>每周一次ASO降脂药Olezarsen获批新适应症。</w:t>
      </w:r>
    </w:p>
    <w:p>
      <w:pPr>
        <w:pStyle w:val="ListBullet"/>
      </w:pPr>
      <w:r>
        <w:rPr>
          <w:rFonts w:ascii="Arial" w:hAnsi="Arial" w:eastAsia="PingFang SC"/>
        </w:rPr>
        <w:t>涉及公司： 正大天晴， 礼新医药， 阿斯利康， 默沙东， 石药集团， Ionis， 云顶新耀</w:t>
      </w:r>
    </w:p>
    <w:p>
      <w:pPr>
        <w:pStyle w:val="ListBullet"/>
      </w:pPr>
      <w:r>
        <w:rPr>
          <w:rFonts w:ascii="Arial" w:hAnsi="Arial" w:eastAsia="PingFang SC"/>
        </w:rPr>
        <w:t>涉及药品/靶点/适应症： 维特柯妥拜单抗 / CLDN18.2 / 胃癌； Olezarsen / APOC3 / 重度高甘油三酯血症； K药 / PD-1 / 铂耐药卵巢癌</w:t>
      </w:r>
    </w:p>
    <w:p>
      <w:pPr>
        <w:pStyle w:val="ListBullet"/>
      </w:pPr>
      <w:r>
        <w:rPr>
          <w:rFonts w:ascii="Arial" w:hAnsi="Arial" w:eastAsia="PingFang SC"/>
        </w:rPr>
        <w:t>市场影响： 体现中国创新药研发进入全球第一梯队。众多新药获批/申报，将带来商业化活动的增加。</w:t>
      </w:r>
    </w:p>
    <w:p>
      <w:pPr>
        <w:pStyle w:val="ListBullet"/>
      </w:pPr>
      <w:r>
        <w:rPr>
          <w:rFonts w:ascii="Arial" w:hAnsi="Arial" w:eastAsia="PingFang SC"/>
        </w:rPr>
        <w:t>Amcor / 包装相关性： 无。主要聚焦药物研发突破，未涉及包装细节。</w:t>
      </w:r>
    </w:p>
    <w:p>
      <w:pPr>
        <w:pStyle w:val="ListBullet"/>
      </w:pPr>
      <w:r>
        <w:rPr>
          <w:rFonts w:ascii="Arial" w:hAnsi="Arial" w:eastAsia="PingFang SC"/>
        </w:rPr>
        <w:t>原文链接： https://mp.weixin.qq.com/s/OKIvPR83H6jVkgq-Zd7ohg</w:t>
      </w:r>
    </w:p>
    <w:p>
      <w:pPr>
        <w:pStyle w:val="Heading2"/>
      </w:pPr>
      <w:r>
        <w:rPr>
          <w:rFonts w:ascii="Arial" w:hAnsi="Arial" w:eastAsia="PingFang SC"/>
        </w:rPr>
        <w:t>3.5 国内新药进展大 PK！恒瑞登顶，三生、海思科、长春高新上榜前十</w:t>
      </w:r>
    </w:p>
    <w:p>
      <w:pPr>
        <w:pStyle w:val="ListBullet"/>
      </w:pPr>
      <w:r>
        <w:rPr>
          <w:rFonts w:ascii="Arial" w:hAnsi="Arial" w:eastAsia="PingFang SC"/>
        </w:rPr>
        <w:t>来源： 丁香园 Insight 数据库</w:t>
      </w:r>
    </w:p>
    <w:p>
      <w:pPr>
        <w:pStyle w:val="ListBullet"/>
      </w:pPr>
      <w:r>
        <w:rPr>
          <w:rFonts w:ascii="Arial" w:hAnsi="Arial" w:eastAsia="PingFang SC"/>
        </w:rPr>
        <w:t>发布时间： 2026-07-02</w:t>
      </w:r>
    </w:p>
    <w:p>
      <w:pPr>
        <w:pStyle w:val="ListBullet"/>
      </w:pPr>
      <w:r>
        <w:rPr>
          <w:rFonts w:ascii="Arial" w:hAnsi="Arial" w:eastAsia="PingFang SC"/>
        </w:rPr>
        <w:t>重要性评分： 17 (High)</w:t>
      </w:r>
    </w:p>
    <w:p>
      <w:pPr>
        <w:pStyle w:val="ListBullet"/>
      </w:pPr>
      <w:r>
        <w:rPr>
          <w:rFonts w:ascii="Arial" w:hAnsi="Arial" w:eastAsia="PingFang SC"/>
        </w:rPr>
        <w:t>分类： 新药申报/获批</w:t>
      </w:r>
    </w:p>
    <w:p>
      <w:pPr>
        <w:pStyle w:val="ListBullet"/>
      </w:pPr>
      <w:r>
        <w:rPr>
          <w:rFonts w:ascii="Arial" w:hAnsi="Arial" w:eastAsia="PingFang SC"/>
        </w:rPr>
        <w:t>一句话 takeaway： 2026上半年国内头部药企创新药管线进展迅速，恒瑞、石药、中生制药等临床与商业化双轨并行。</w:t>
      </w:r>
    </w:p>
    <w:p>
      <w:pPr>
        <w:pStyle w:val="ListBullet"/>
      </w:pPr>
      <w:r>
        <w:rPr>
          <w:rFonts w:ascii="Arial" w:hAnsi="Arial" w:eastAsia="PingFang SC"/>
        </w:rPr>
        <w:t>关键信息：</w:t>
      </w:r>
    </w:p>
    <w:p>
      <w:pPr>
        <w:pStyle w:val="ListBullet"/>
      </w:pPr>
      <w:r>
        <w:rPr>
          <w:rFonts w:ascii="Arial" w:hAnsi="Arial" w:eastAsia="PingFang SC"/>
        </w:rPr>
        <w:t>盘点了2026上半年国内新药进展前十的药企。</w:t>
      </w:r>
    </w:p>
    <w:p>
      <w:pPr>
        <w:pStyle w:val="ListBullet"/>
      </w:pPr>
      <w:r>
        <w:rPr>
          <w:rFonts w:ascii="Arial" w:hAnsi="Arial" w:eastAsia="PingFang SC"/>
        </w:rPr>
        <w:t>恒瑞发展最快，有30款新药进度变化。</w:t>
      </w:r>
    </w:p>
    <w:p>
      <w:pPr>
        <w:pStyle w:val="ListBullet"/>
      </w:pPr>
      <w:r>
        <w:rPr>
          <w:rFonts w:ascii="Arial" w:hAnsi="Arial" w:eastAsia="PingFang SC"/>
        </w:rPr>
        <w:t>石药集团、中生制药、复星医药等多家药企在肿瘤、自免等核心领域有多个新药获批或进入III期。</w:t>
      </w:r>
    </w:p>
    <w:p>
      <w:pPr>
        <w:pStyle w:val="ListBullet"/>
      </w:pPr>
      <w:r>
        <w:rPr>
          <w:rFonts w:ascii="Arial" w:hAnsi="Arial" w:eastAsia="PingFang SC"/>
        </w:rPr>
        <w:t>海思科等多笔BD交易总额超60亿美元。</w:t>
      </w:r>
    </w:p>
    <w:p>
      <w:pPr>
        <w:pStyle w:val="ListBullet"/>
      </w:pPr>
      <w:r>
        <w:rPr>
          <w:rFonts w:ascii="Arial" w:hAnsi="Arial" w:eastAsia="PingFang SC"/>
        </w:rPr>
        <w:t>涉及公司： 恒瑞医药， 石药集团， 中国生物制药， 齐鲁制药， 三生制药， 海思科， 复星医药， 翰森制药， 长春高新， 信达生物</w:t>
      </w:r>
    </w:p>
    <w:p>
      <w:pPr>
        <w:pStyle w:val="ListBullet"/>
      </w:pPr>
      <w:r>
        <w:rPr>
          <w:rFonts w:ascii="Arial" w:hAnsi="Arial" w:eastAsia="PingFang SC"/>
        </w:rPr>
        <w:t>涉及药品/靶点/适应症： 涉及数十款药品，覆盖肿瘤、自免、代谢等多个领域。</w:t>
      </w:r>
    </w:p>
    <w:p>
      <w:pPr>
        <w:pStyle w:val="ListBullet"/>
      </w:pPr>
      <w:r>
        <w:rPr>
          <w:rFonts w:ascii="Arial" w:hAnsi="Arial" w:eastAsia="PingFang SC"/>
        </w:rPr>
        <w:t>市场影响： 管线丰富且进入商业化阶段的药企增多，预示着未来几年中国医药市场的竞争将更加激烈，同时为上游供应链（包括包装）带来机遇。</w:t>
      </w:r>
    </w:p>
    <w:p>
      <w:pPr>
        <w:pStyle w:val="ListBullet"/>
      </w:pPr>
      <w:r>
        <w:rPr>
          <w:rFonts w:ascii="Arial" w:hAnsi="Arial" w:eastAsia="PingFang SC"/>
        </w:rPr>
        <w:t>Amcor / 包装相关性： 中等。报告指出大量新药进入商业化阶段，直接带动注射剂、口服液等剂型的包装需求，可作为预判潜在客户的参考。</w:t>
      </w:r>
    </w:p>
    <w:p>
      <w:pPr>
        <w:pStyle w:val="ListBullet"/>
      </w:pPr>
      <w:r>
        <w:rPr>
          <w:rFonts w:ascii="Arial" w:hAnsi="Arial" w:eastAsia="PingFang SC"/>
        </w:rPr>
        <w:t>原文链接： https://mp.weixin.qq.com/s/2sU7naJVIRIjeynAa_3q_g</w:t>
      </w:r>
    </w:p>
    <w:p>
      <w:pPr>
        <w:pStyle w:val="Heading2"/>
      </w:pPr>
      <w:r>
        <w:rPr>
          <w:rFonts w:ascii="Arial" w:hAnsi="Arial" w:eastAsia="PingFang SC"/>
        </w:rPr>
        <w:t>3.6 中国药企杀疯了！半年狂揽近 1000 亿美元出海大单</w:t>
      </w:r>
    </w:p>
    <w:p>
      <w:pPr>
        <w:pStyle w:val="ListBullet"/>
      </w:pPr>
      <w:r>
        <w:rPr>
          <w:rFonts w:ascii="Arial" w:hAnsi="Arial" w:eastAsia="PingFang SC"/>
        </w:rPr>
        <w:t>来源： 丁香园 Insight 数据库</w:t>
      </w:r>
    </w:p>
    <w:p>
      <w:pPr>
        <w:pStyle w:val="ListBullet"/>
      </w:pPr>
      <w:r>
        <w:rPr>
          <w:rFonts w:ascii="Arial" w:hAnsi="Arial" w:eastAsia="PingFang SC"/>
        </w:rPr>
        <w:t>发布时间： 2026-07-01</w:t>
      </w:r>
    </w:p>
    <w:p>
      <w:pPr>
        <w:pStyle w:val="ListBullet"/>
      </w:pPr>
      <w:r>
        <w:rPr>
          <w:rFonts w:ascii="Arial" w:hAnsi="Arial" w:eastAsia="PingFang SC"/>
        </w:rPr>
        <w:t>重要性评分： 13 (High)</w:t>
      </w:r>
    </w:p>
    <w:p>
      <w:pPr>
        <w:pStyle w:val="ListBullet"/>
      </w:pPr>
      <w:r>
        <w:rPr>
          <w:rFonts w:ascii="Arial" w:hAnsi="Arial" w:eastAsia="PingFang SC"/>
        </w:rPr>
        <w:t>分类： BD出海</w:t>
      </w:r>
    </w:p>
    <w:p>
      <w:pPr>
        <w:pStyle w:val="ListBullet"/>
      </w:pPr>
      <w:r>
        <w:rPr>
          <w:rFonts w:ascii="Arial" w:hAnsi="Arial" w:eastAsia="PingFang SC"/>
        </w:rPr>
        <w:t>一句话 takeaway： 2026上半年中国药企出海交易总额近1000亿美元，MNC深度参与，标志着中国创新药全球化进入新阶段。</w:t>
      </w:r>
    </w:p>
    <w:p>
      <w:pPr>
        <w:pStyle w:val="ListBullet"/>
      </w:pPr>
      <w:r>
        <w:rPr>
          <w:rFonts w:ascii="Arial" w:hAnsi="Arial" w:eastAsia="PingFang SC"/>
        </w:rPr>
        <w:t>关键信息：</w:t>
      </w:r>
    </w:p>
    <w:p>
      <w:pPr>
        <w:pStyle w:val="ListBullet"/>
      </w:pPr>
      <w:r>
        <w:rPr>
          <w:rFonts w:ascii="Arial" w:hAnsi="Arial" w:eastAsia="PingFang SC"/>
        </w:rPr>
        <w:t>上半年共86笔交易，总额976.25亿美元，同比增长40%。</w:t>
      </w:r>
    </w:p>
    <w:p>
      <w:pPr>
        <w:pStyle w:val="ListBullet"/>
      </w:pPr>
      <w:r>
        <w:rPr>
          <w:rFonts w:ascii="Arial" w:hAnsi="Arial" w:eastAsia="PingFang SC"/>
        </w:rPr>
        <w:t>23笔交易超10亿美元，MNC贡献了82%的交易额。</w:t>
      </w:r>
    </w:p>
    <w:p>
      <w:pPr>
        <w:pStyle w:val="ListBullet"/>
      </w:pPr>
      <w:r>
        <w:rPr>
          <w:rFonts w:ascii="Arial" w:hAnsi="Arial" w:eastAsia="PingFang SC"/>
        </w:rPr>
        <w:t>礼来、阿斯利康、BMS等与信达、恒瑞等达成百亿美元级合作。</w:t>
      </w:r>
    </w:p>
    <w:p>
      <w:pPr>
        <w:pStyle w:val="ListBullet"/>
      </w:pPr>
      <w:r>
        <w:rPr>
          <w:rFonts w:ascii="Arial" w:hAnsi="Arial" w:eastAsia="PingFang SC"/>
        </w:rPr>
        <w:t>涉及公司： 信达生物， 恒瑞医药， 石药集团， 荣昌生物， 礼来， 阿斯利康， BMS， 辉瑞， 艾伯维， 罗氏</w:t>
      </w:r>
    </w:p>
    <w:p>
      <w:pPr>
        <w:pStyle w:val="ListBullet"/>
      </w:pPr>
      <w:r>
        <w:rPr>
          <w:rFonts w:ascii="Arial" w:hAnsi="Arial" w:eastAsia="PingFang SC"/>
        </w:rPr>
        <w:t>涉及药品/靶点/适应症： 未具体提及，覆盖肿瘤、罕见病、免疫等领域。</w:t>
      </w:r>
    </w:p>
    <w:p>
      <w:pPr>
        <w:pStyle w:val="ListBullet"/>
      </w:pPr>
      <w:r>
        <w:rPr>
          <w:rFonts w:ascii="Arial" w:hAnsi="Arial" w:eastAsia="PingFang SC"/>
        </w:rPr>
        <w:t>市场影响： 验证了中国创新药的价值，出海交易为国内药企带来大量现金流，有望加速其国内管线的研发和商业化。</w:t>
      </w:r>
    </w:p>
    <w:p>
      <w:pPr>
        <w:pStyle w:val="ListBullet"/>
      </w:pPr>
      <w:r>
        <w:rPr>
          <w:rFonts w:ascii="Arial" w:hAnsi="Arial" w:eastAsia="PingFang SC"/>
        </w:rPr>
        <w:t>Amcor / 包装相关性： 无。提供宏观产业趋势参考，无直接包装机会。</w:t>
      </w:r>
    </w:p>
    <w:p>
      <w:pPr>
        <w:pStyle w:val="ListBullet"/>
      </w:pPr>
      <w:r>
        <w:rPr>
          <w:rFonts w:ascii="Arial" w:hAnsi="Arial" w:eastAsia="PingFang SC"/>
        </w:rPr>
        <w:t>原文链接： https://mp.weixin.qq.com/s/75akH29rgNPeT6DGMvfXXw</w:t>
      </w:r>
    </w:p>
    <w:p>
      <w:pPr>
        <w:pStyle w:val="Heading2"/>
      </w:pPr>
      <w:r>
        <w:rPr>
          <w:rFonts w:ascii="Arial" w:hAnsi="Arial" w:eastAsia="PingFang SC"/>
        </w:rPr>
        <w:t>3.7 一个月内，睿健医药再获 2.6 亿元 C+轮融资</w:t>
      </w:r>
    </w:p>
    <w:p>
      <w:pPr>
        <w:pStyle w:val="ListBullet"/>
      </w:pPr>
      <w:r>
        <w:rPr>
          <w:rFonts w:ascii="Arial" w:hAnsi="Arial" w:eastAsia="PingFang SC"/>
        </w:rPr>
        <w:t>来源： 丁香园 Insight 数据库</w:t>
      </w:r>
    </w:p>
    <w:p>
      <w:pPr>
        <w:pStyle w:val="ListBullet"/>
      </w:pPr>
      <w:r>
        <w:rPr>
          <w:rFonts w:ascii="Arial" w:hAnsi="Arial" w:eastAsia="PingFang SC"/>
        </w:rPr>
        <w:t>发布时间： 2026-07-01</w:t>
      </w:r>
    </w:p>
    <w:p>
      <w:pPr>
        <w:pStyle w:val="ListBullet"/>
      </w:pPr>
      <w:r>
        <w:rPr>
          <w:rFonts w:ascii="Arial" w:hAnsi="Arial" w:eastAsia="PingFang SC"/>
        </w:rPr>
        <w:t>重要性评分： 12 (Medium)</w:t>
      </w:r>
    </w:p>
    <w:p>
      <w:pPr>
        <w:pStyle w:val="ListBullet"/>
      </w:pPr>
      <w:r>
        <w:rPr>
          <w:rFonts w:ascii="Arial" w:hAnsi="Arial" w:eastAsia="PingFang SC"/>
        </w:rPr>
        <w:t>分类： 融资并购</w:t>
      </w:r>
    </w:p>
    <w:p>
      <w:pPr>
        <w:pStyle w:val="ListBullet"/>
      </w:pPr>
      <w:r>
        <w:rPr>
          <w:rFonts w:ascii="Arial" w:hAnsi="Arial" w:eastAsia="PingFang SC"/>
        </w:rPr>
        <w:t>一句话 takeaway： 睿健医药一月内完成两轮共4.7亿元融资，显示资本对其iPSC细胞治疗管线的信心。</w:t>
      </w:r>
    </w:p>
    <w:p>
      <w:pPr>
        <w:pStyle w:val="ListBullet"/>
      </w:pPr>
      <w:r>
        <w:rPr>
          <w:rFonts w:ascii="Arial" w:hAnsi="Arial" w:eastAsia="PingFang SC"/>
        </w:rPr>
        <w:t>关键信息：</w:t>
      </w:r>
    </w:p>
    <w:p>
      <w:pPr>
        <w:pStyle w:val="ListBullet"/>
      </w:pPr>
      <w:r>
        <w:rPr>
          <w:rFonts w:ascii="Arial" w:hAnsi="Arial" w:eastAsia="PingFang SC"/>
        </w:rPr>
        <w:t>核心管线NouvNeu001（帕金森病）已获FDA快速通道和RMAT认定，中美同步临床。</w:t>
      </w:r>
    </w:p>
    <w:p>
      <w:pPr>
        <w:pStyle w:val="ListBullet"/>
      </w:pPr>
      <w:r>
        <w:rPr>
          <w:rFonts w:ascii="Arial" w:hAnsi="Arial" w:eastAsia="PingFang SC"/>
        </w:rPr>
        <w:t>管线还涉及多系统萎缩、视网膜退行性疾病。</w:t>
      </w:r>
    </w:p>
    <w:p>
      <w:pPr>
        <w:pStyle w:val="ListBullet"/>
      </w:pPr>
      <w:r>
        <w:rPr>
          <w:rFonts w:ascii="Arial" w:hAnsi="Arial" w:eastAsia="PingFang SC"/>
        </w:rPr>
        <w:t>涉及公司： 睿健医药</w:t>
      </w:r>
    </w:p>
    <w:p>
      <w:pPr>
        <w:pStyle w:val="ListBullet"/>
      </w:pPr>
      <w:r>
        <w:rPr>
          <w:rFonts w:ascii="Arial" w:hAnsi="Arial" w:eastAsia="PingFang SC"/>
        </w:rPr>
        <w:t>涉及药品/靶点/适应症： NouvNeu001 / iPSC来源多巴胺能神经前体细胞 / 帕金森病</w:t>
      </w:r>
    </w:p>
    <w:p>
      <w:pPr>
        <w:pStyle w:val="ListBullet"/>
      </w:pPr>
      <w:r>
        <w:rPr>
          <w:rFonts w:ascii="Arial" w:hAnsi="Arial" w:eastAsia="PingFang SC"/>
        </w:rPr>
        <w:t>市场影响： 体现资本市场对细胞治疗赛道的持续关注，尤其是在临床确定性提高之后。</w:t>
      </w:r>
    </w:p>
    <w:p>
      <w:pPr>
        <w:pStyle w:val="ListBullet"/>
      </w:pPr>
      <w:r>
        <w:rPr>
          <w:rFonts w:ascii="Arial" w:hAnsi="Arial" w:eastAsia="PingFang SC"/>
        </w:rPr>
        <w:t>Amcor / 包装相关性： 无。融资新闻，不涉及包装。</w:t>
      </w:r>
    </w:p>
    <w:p>
      <w:pPr>
        <w:pStyle w:val="ListBullet"/>
      </w:pPr>
      <w:r>
        <w:rPr>
          <w:rFonts w:ascii="Arial" w:hAnsi="Arial" w:eastAsia="PingFang SC"/>
        </w:rPr>
        <w:t>原文链接： https://mp.weixin.qq.com/s/GA3WscPPt4bMASmbb8RU9w</w:t>
      </w:r>
    </w:p>
    <w:p>
      <w:pPr>
        <w:pStyle w:val="Heading1"/>
      </w:pPr>
      <w:r>
        <w:rPr>
          <w:rFonts w:ascii="Arial" w:hAnsi="Arial" w:eastAsia="PingFang SC"/>
        </w:rPr>
        <w:t>4. Company Watchlist 本周重点公司</w:t>
      </w:r>
    </w:p>
    <w:tbl>
      <w:tblPr>
        <w:tblStyle w:val="TableGrid"/>
        <w:tblW w:type="auto" w:w="0"/>
        <w:tblLook w:firstColumn="1" w:firstRow="1" w:lastColumn="0" w:lastRow="0" w:noHBand="0" w:noVBand="1" w:val="04A0"/>
      </w:tblPr>
      <w:tblGrid>
        <w:gridCol w:w="4896"/>
        <w:gridCol w:w="4896"/>
      </w:tblGrid>
      <w:tr>
        <w:tc>
          <w:tcPr>
            <w:tcW w:type="dxa" w:w="4896"/>
            <w:shd w:fill="EAF2F8"/>
          </w:tcPr>
          <w:p>
            <w:r>
              <w:rPr>
                <w:rFonts w:ascii="Arial" w:hAnsi="Arial" w:eastAsia="PingFang SC"/>
                <w:sz w:val="17"/>
              </w:rPr>
              <w:t>公司</w:t>
            </w:r>
          </w:p>
        </w:tc>
        <w:tc>
          <w:tcPr>
            <w:tcW w:type="dxa" w:w="4896"/>
            <w:shd w:fill="EAF2F8"/>
          </w:tcPr>
          <w:p>
            <w:r>
              <w:rPr>
                <w:rFonts w:ascii="Arial" w:hAnsi="Arial" w:eastAsia="PingFang SC"/>
                <w:sz w:val="17"/>
              </w:rPr>
              <w:t>原因</w:t>
            </w:r>
          </w:p>
        </w:tc>
      </w:tr>
      <w:tr>
        <w:tc>
          <w:tcPr>
            <w:tcW w:type="dxa" w:w="4896"/>
          </w:tcPr>
          <w:p>
            <w:r>
              <w:rPr>
                <w:rFonts w:ascii="Arial" w:hAnsi="Arial" w:eastAsia="PingFang SC"/>
                <w:sz w:val="17"/>
              </w:rPr>
              <w:t>恒瑞医药</w:t>
            </w:r>
          </w:p>
        </w:tc>
        <w:tc>
          <w:tcPr>
            <w:tcW w:type="dxa" w:w="4896"/>
          </w:tcPr>
          <w:p>
            <w:r>
              <w:rPr>
                <w:rFonts w:ascii="Arial" w:hAnsi="Arial" w:eastAsia="PingFang SC"/>
                <w:sz w:val="17"/>
              </w:rPr>
              <w:t>本周核心新闻主角之一，HER2 ADC新适应症申报上市，上半年新药进度数量排名第一。</w:t>
            </w:r>
          </w:p>
        </w:tc>
      </w:tr>
      <w:tr>
        <w:tc>
          <w:tcPr>
            <w:tcW w:type="dxa" w:w="4896"/>
          </w:tcPr>
          <w:p>
            <w:r>
              <w:rPr>
                <w:rFonts w:ascii="Arial" w:hAnsi="Arial" w:eastAsia="PingFang SC"/>
                <w:sz w:val="17"/>
              </w:rPr>
              <w:t>宜联生物</w:t>
            </w:r>
          </w:p>
        </w:tc>
        <w:tc>
          <w:tcPr>
            <w:tcW w:type="dxa" w:w="4896"/>
          </w:tcPr>
          <w:p>
            <w:r>
              <w:rPr>
                <w:rFonts w:ascii="Arial" w:hAnsi="Arial" w:eastAsia="PingFang SC"/>
                <w:sz w:val="17"/>
              </w:rPr>
              <w:t>B7-H3 ADC被拟纳入优先审评，与罗氏达成高额授权，是ADC赛道技术创新与商业化的代表。</w:t>
            </w:r>
          </w:p>
        </w:tc>
      </w:tr>
      <w:tr>
        <w:tc>
          <w:tcPr>
            <w:tcW w:type="dxa" w:w="4896"/>
          </w:tcPr>
          <w:p>
            <w:r>
              <w:rPr>
                <w:rFonts w:ascii="Arial" w:hAnsi="Arial" w:eastAsia="PingFang SC"/>
                <w:sz w:val="17"/>
              </w:rPr>
              <w:t>正大天晴</w:t>
            </w:r>
          </w:p>
        </w:tc>
        <w:tc>
          <w:tcPr>
            <w:tcW w:type="dxa" w:w="4896"/>
          </w:tcPr>
          <w:p>
            <w:r>
              <w:rPr>
                <w:rFonts w:ascii="Arial" w:hAnsi="Arial" w:eastAsia="PingFang SC"/>
                <w:sz w:val="17"/>
              </w:rPr>
              <w:t>本周申报其首款CLDN18.2 ADC，并收购礼新医药管线，在ADC领域加速布局。</w:t>
            </w:r>
          </w:p>
        </w:tc>
      </w:tr>
      <w:tr>
        <w:tc>
          <w:tcPr>
            <w:tcW w:type="dxa" w:w="4896"/>
          </w:tcPr>
          <w:p>
            <w:r>
              <w:rPr>
                <w:rFonts w:ascii="Arial" w:hAnsi="Arial" w:eastAsia="PingFang SC"/>
                <w:sz w:val="17"/>
              </w:rPr>
              <w:t>石药集团</w:t>
            </w:r>
          </w:p>
        </w:tc>
        <w:tc>
          <w:tcPr>
            <w:tcW w:type="dxa" w:w="4896"/>
          </w:tcPr>
          <w:p>
            <w:r>
              <w:rPr>
                <w:rFonts w:ascii="Arial" w:hAnsi="Arial" w:eastAsia="PingFang SC"/>
                <w:sz w:val="17"/>
              </w:rPr>
              <w:t>上半年新药进展排名第二，多款新药获批/申报，B7-H3 ADC拟纳入突破性疗法，商业化管线丰富。</w:t>
            </w:r>
          </w:p>
        </w:tc>
      </w:tr>
      <w:tr>
        <w:tc>
          <w:tcPr>
            <w:tcW w:type="dxa" w:w="4896"/>
          </w:tcPr>
          <w:p>
            <w:r>
              <w:rPr>
                <w:rFonts w:ascii="Arial" w:hAnsi="Arial" w:eastAsia="PingFang SC"/>
                <w:sz w:val="17"/>
              </w:rPr>
              <w:t>信达生物</w:t>
            </w:r>
          </w:p>
        </w:tc>
        <w:tc>
          <w:tcPr>
            <w:tcW w:type="dxa" w:w="4896"/>
          </w:tcPr>
          <w:p>
            <w:r>
              <w:rPr>
                <w:rFonts w:ascii="Arial" w:hAnsi="Arial" w:eastAsia="PingFang SC"/>
                <w:sz w:val="17"/>
              </w:rPr>
              <w:t>上半年新药进展TOP10，与多家MNC达成高额BD交易（如礼来、辉瑞），出海模式值得关注。</w:t>
            </w:r>
          </w:p>
        </w:tc>
      </w:tr>
    </w:tbl>
    <w:p/>
    <w:p>
      <w:pPr>
        <w:pStyle w:val="Heading1"/>
      </w:pPr>
      <w:r>
        <w:rPr>
          <w:rFonts w:ascii="Arial" w:hAnsi="Arial" w:eastAsia="PingFang SC"/>
        </w:rPr>
        <w:t>5. Drug / Target Watchlist 本周重点药品、靶点和技术平台</w:t>
      </w:r>
    </w:p>
    <w:tbl>
      <w:tblPr>
        <w:tblStyle w:val="TableGrid"/>
        <w:tblW w:type="auto" w:w="0"/>
        <w:tblLook w:firstColumn="1" w:firstRow="1" w:lastColumn="0" w:lastRow="0" w:noHBand="0" w:noVBand="1" w:val="04A0"/>
      </w:tblPr>
      <w:tblGrid>
        <w:gridCol w:w="3264"/>
        <w:gridCol w:w="3264"/>
        <w:gridCol w:w="3264"/>
      </w:tblGrid>
      <w:tr>
        <w:tc>
          <w:tcPr>
            <w:tcW w:type="dxa" w:w="3264"/>
            <w:shd w:fill="EAF2F8"/>
          </w:tcPr>
          <w:p>
            <w:r>
              <w:rPr>
                <w:rFonts w:ascii="Arial" w:hAnsi="Arial" w:eastAsia="PingFang SC"/>
                <w:sz w:val="17"/>
              </w:rPr>
              <w:t>药品/靶点/平台</w:t>
            </w:r>
          </w:p>
        </w:tc>
        <w:tc>
          <w:tcPr>
            <w:tcW w:type="dxa" w:w="3264"/>
            <w:shd w:fill="EAF2F8"/>
          </w:tcPr>
          <w:p>
            <w:r>
              <w:rPr>
                <w:rFonts w:ascii="Arial" w:hAnsi="Arial" w:eastAsia="PingFang SC"/>
                <w:sz w:val="17"/>
              </w:rPr>
              <w:t>公司</w:t>
            </w:r>
          </w:p>
        </w:tc>
        <w:tc>
          <w:tcPr>
            <w:tcW w:type="dxa" w:w="3264"/>
            <w:shd w:fill="EAF2F8"/>
          </w:tcPr>
          <w:p>
            <w:r>
              <w:rPr>
                <w:rFonts w:ascii="Arial" w:hAnsi="Arial" w:eastAsia="PingFang SC"/>
                <w:sz w:val="17"/>
              </w:rPr>
              <w:t>关注原因</w:t>
            </w:r>
          </w:p>
        </w:tc>
      </w:tr>
      <w:tr>
        <w:tc>
          <w:tcPr>
            <w:tcW w:type="dxa" w:w="3264"/>
          </w:tcPr>
          <w:p>
            <w:r>
              <w:rPr>
                <w:rFonts w:ascii="Arial" w:hAnsi="Arial" w:eastAsia="PingFang SC"/>
                <w:sz w:val="17"/>
              </w:rPr>
              <w:t>瑞康曲妥珠单抗 (SHR-A1811)</w:t>
            </w:r>
          </w:p>
        </w:tc>
        <w:tc>
          <w:tcPr>
            <w:tcW w:type="dxa" w:w="3264"/>
          </w:tcPr>
          <w:p>
            <w:r>
              <w:rPr>
                <w:rFonts w:ascii="Arial" w:hAnsi="Arial" w:eastAsia="PingFang SC"/>
                <w:sz w:val="17"/>
              </w:rPr>
              <w:t>恒瑞医药</w:t>
            </w:r>
          </w:p>
        </w:tc>
        <w:tc>
          <w:tcPr>
            <w:tcW w:type="dxa" w:w="3264"/>
          </w:tcPr>
          <w:p>
            <w:r>
              <w:rPr>
                <w:rFonts w:ascii="Arial" w:hAnsi="Arial" w:eastAsia="PingFang SC"/>
                <w:sz w:val="17"/>
              </w:rPr>
              <w:t>恒瑞重磅HER2 ADC，适应症持续扩展至HER2低表达乳腺癌，市场潜力巨大。</w:t>
            </w:r>
          </w:p>
        </w:tc>
      </w:tr>
      <w:tr>
        <w:tc>
          <w:tcPr>
            <w:tcW w:type="dxa" w:w="3264"/>
          </w:tcPr>
          <w:p>
            <w:r>
              <w:rPr>
                <w:rFonts w:ascii="Arial" w:hAnsi="Arial" w:eastAsia="PingFang SC"/>
                <w:sz w:val="17"/>
              </w:rPr>
              <w:t>YL201</w:t>
            </w:r>
          </w:p>
        </w:tc>
        <w:tc>
          <w:tcPr>
            <w:tcW w:type="dxa" w:w="3264"/>
          </w:tcPr>
          <w:p>
            <w:r>
              <w:rPr>
                <w:rFonts w:ascii="Arial" w:hAnsi="Arial" w:eastAsia="PingFang SC"/>
                <w:sz w:val="17"/>
              </w:rPr>
              <w:t>宜联生物</w:t>
            </w:r>
          </w:p>
        </w:tc>
        <w:tc>
          <w:tcPr>
            <w:tcW w:type="dxa" w:w="3264"/>
          </w:tcPr>
          <w:p>
            <w:r>
              <w:rPr>
                <w:rFonts w:ascii="Arial" w:hAnsi="Arial" w:eastAsia="PingFang SC"/>
                <w:sz w:val="17"/>
              </w:rPr>
              <w:t>国内进度领先的B7-H3 ADC，III期临床成功，并实现高额海外授权。</w:t>
            </w:r>
          </w:p>
        </w:tc>
      </w:tr>
      <w:tr>
        <w:tc>
          <w:tcPr>
            <w:tcW w:type="dxa" w:w="3264"/>
          </w:tcPr>
          <w:p>
            <w:r>
              <w:rPr>
                <w:rFonts w:ascii="Arial" w:hAnsi="Arial" w:eastAsia="PingFang SC"/>
                <w:sz w:val="17"/>
              </w:rPr>
              <w:t>B7-H3</w:t>
            </w:r>
          </w:p>
        </w:tc>
        <w:tc>
          <w:tcPr>
            <w:tcW w:type="dxa" w:w="3264"/>
          </w:tcPr>
          <w:p>
            <w:r>
              <w:rPr>
                <w:rFonts w:ascii="Arial" w:hAnsi="Arial" w:eastAsia="PingFang SC"/>
                <w:sz w:val="17"/>
              </w:rPr>
              <w:t>宜联生物， 石药集团</w:t>
            </w:r>
          </w:p>
        </w:tc>
        <w:tc>
          <w:tcPr>
            <w:tcW w:type="dxa" w:w="3264"/>
          </w:tcPr>
          <w:p>
            <w:r>
              <w:rPr>
                <w:rFonts w:ascii="Arial" w:hAnsi="Arial" w:eastAsia="PingFang SC"/>
                <w:sz w:val="17"/>
              </w:rPr>
              <w:t>本周多个B7-H3 ADC项目取得进展，成为继HER2、CLDN18.2后的热门ADC靶点。</w:t>
            </w:r>
          </w:p>
        </w:tc>
      </w:tr>
      <w:tr>
        <w:tc>
          <w:tcPr>
            <w:tcW w:type="dxa" w:w="3264"/>
          </w:tcPr>
          <w:p>
            <w:r>
              <w:rPr>
                <w:rFonts w:ascii="Arial" w:hAnsi="Arial" w:eastAsia="PingFang SC"/>
                <w:sz w:val="17"/>
              </w:rPr>
              <w:t>CLDN18.2</w:t>
            </w:r>
          </w:p>
        </w:tc>
        <w:tc>
          <w:tcPr>
            <w:tcW w:type="dxa" w:w="3264"/>
          </w:tcPr>
          <w:p>
            <w:r>
              <w:rPr>
                <w:rFonts w:ascii="Arial" w:hAnsi="Arial" w:eastAsia="PingFang SC"/>
                <w:sz w:val="17"/>
              </w:rPr>
              <w:t>正大天晴/礼新医药</w:t>
            </w:r>
          </w:p>
        </w:tc>
        <w:tc>
          <w:tcPr>
            <w:tcW w:type="dxa" w:w="3264"/>
          </w:tcPr>
          <w:p>
            <w:r>
              <w:rPr>
                <w:rFonts w:ascii="Arial" w:hAnsi="Arial" w:eastAsia="PingFang SC"/>
                <w:sz w:val="17"/>
              </w:rPr>
              <w:t>国内ADC研发热门的消化道肿瘤靶点，本周有新品申报上市。</w:t>
            </w:r>
          </w:p>
        </w:tc>
      </w:tr>
      <w:tr>
        <w:tc>
          <w:tcPr>
            <w:tcW w:type="dxa" w:w="3264"/>
          </w:tcPr>
          <w:p>
            <w:r>
              <w:rPr>
                <w:rFonts w:ascii="Arial" w:hAnsi="Arial" w:eastAsia="PingFang SC"/>
                <w:sz w:val="17"/>
              </w:rPr>
              <w:t>维特柯妥拜单抗</w:t>
            </w:r>
          </w:p>
        </w:tc>
        <w:tc>
          <w:tcPr>
            <w:tcW w:type="dxa" w:w="3264"/>
          </w:tcPr>
          <w:p>
            <w:r>
              <w:rPr>
                <w:rFonts w:ascii="Arial" w:hAnsi="Arial" w:eastAsia="PingFang SC"/>
                <w:sz w:val="17"/>
              </w:rPr>
              <w:t>正大天晴/礼新医药</w:t>
            </w:r>
          </w:p>
        </w:tc>
        <w:tc>
          <w:tcPr>
            <w:tcW w:type="dxa" w:w="3264"/>
          </w:tcPr>
          <w:p>
            <w:r>
              <w:rPr>
                <w:rFonts w:ascii="Arial" w:hAnsi="Arial" w:eastAsia="PingFang SC"/>
                <w:sz w:val="17"/>
              </w:rPr>
              <w:t>本周申报上市的CLDN18.2 ADC，正大天晴在该领域的首款产品。</w:t>
            </w:r>
          </w:p>
        </w:tc>
      </w:tr>
    </w:tbl>
    <w:p/>
    <w:p>
      <w:pPr>
        <w:pStyle w:val="Heading1"/>
      </w:pPr>
      <w:r>
        <w:rPr>
          <w:rFonts w:ascii="Arial" w:hAnsi="Arial" w:eastAsia="PingFang SC"/>
        </w:rPr>
        <w:t>6. Packaging &amp; Commercialization Relevance</w:t>
      </w:r>
    </w:p>
    <w:p>
      <w:r>
        <w:rPr>
          <w:rFonts w:ascii="Arial" w:hAnsi="Arial" w:eastAsia="PingFang SC"/>
        </w:rPr>
        <w:t>本周暂无直接包装相关强信号。</w:t>
      </w:r>
    </w:p>
    <w:p>
      <w:r>
        <w:rPr>
          <w:rFonts w:ascii="Arial" w:hAnsi="Arial" w:eastAsia="PingFang SC"/>
        </w:rPr>
        <w:t>本周新闻的核心集中在药物研发进展、审批申报及BD交易上。虽然大量新药（如ADC、双抗、CAR-T、鼻喷雾剂等）的获批或申报上市，预示着未来商业化放量时会产生对西林瓶、预灌封注射器、鼻喷剂包装、口服药瓶等包装产品的需求，但并没有任何一家公司或合作伙伴明确宣布关于包装供应链的具体决策、合作或扩产计划。</w:t>
      </w:r>
    </w:p>
    <w:p>
      <w:pPr>
        <w:pStyle w:val="ListBullet"/>
      </w:pPr>
      <w:r>
        <w:rPr>
          <w:rFonts w:ascii="Arial" w:hAnsi="Arial" w:eastAsia="PingFang SC"/>
        </w:rPr>
        <w:t>间接机会： 恒瑞、宜联生物、正大天晴等公司管线丰富，进入商业化阶段后，将对高质量、高稳定性的药品包装有刚性需求。</w:t>
      </w:r>
    </w:p>
    <w:p>
      <w:pPr>
        <w:pStyle w:val="ListBullet"/>
      </w:pPr>
      <w:r>
        <w:rPr>
          <w:rFonts w:ascii="Arial" w:hAnsi="Arial" w:eastAsia="PingFang SC"/>
        </w:rPr>
        <w:t>趋势关注： 随着ADC、胰高血糖素样肽-1（GLP-1）等复杂生物制剂和注射剂型的增加，对高质量包装材料（如符合ISO标准的预灌封注射器、防污染的包装设计等）的需求将持续增长。建议持续跟踪已获批/即将获批新药的商业化进展。</w:t>
      </w:r>
    </w:p>
    <w:p>
      <w:pPr>
        <w:pStyle w:val="Heading1"/>
      </w:pPr>
      <w:r>
        <w:rPr>
          <w:rFonts w:ascii="Arial" w:hAnsi="Arial" w:eastAsia="PingFang SC"/>
        </w:rPr>
        <w:t>7. Risks and Uncertainties</w:t>
      </w:r>
    </w:p>
    <w:p>
      <w:pPr>
        <w:pStyle w:val="ListBullet"/>
      </w:pPr>
      <w:r>
        <w:rPr>
          <w:rFonts w:ascii="Arial" w:hAnsi="Arial" w:eastAsia="PingFang SC"/>
        </w:rPr>
        <w:t>来源可靠性： 所有数据均来源于 “丁香园 Insight 数据库” 微信公众号，信息可能存在滞后或偏差，建议后续通过官方渠道（如CDE官网、企业公告）进行核验。</w:t>
      </w:r>
    </w:p>
    <w:p>
      <w:pPr>
        <w:pStyle w:val="ListBullet"/>
      </w:pPr>
      <w:r>
        <w:rPr>
          <w:rFonts w:ascii="Arial" w:hAnsi="Arial" w:eastAsia="PingFang SC"/>
        </w:rPr>
        <w:t>OCR / 公众号数据风险： 部分数据（如交易金额、临床数据）均来自公众号文章，可能存在因OCR识别错误或原文笔误导致的不准确性。特别是BD交易的里程碑付款，不等于当期已到账的现金收入。</w:t>
      </w:r>
    </w:p>
    <w:p>
      <w:pPr>
        <w:pStyle w:val="ListBullet"/>
      </w:pPr>
      <w:r>
        <w:rPr>
          <w:rFonts w:ascii="Arial" w:hAnsi="Arial" w:eastAsia="PingFang SC"/>
        </w:rPr>
        <w:t>政策和审批不确定性： 文中提及的新药申报、优先审评及潜在获批，均存在因临床数据、生产问题或监管政策变化而延迟、被拒或附加限制条件的可能性。</w:t>
      </w:r>
    </w:p>
    <w:p>
      <w:pPr>
        <w:pStyle w:val="ListBullet"/>
      </w:pPr>
      <w:r>
        <w:rPr>
          <w:rFonts w:ascii="Arial" w:hAnsi="Arial" w:eastAsia="PingFang SC"/>
        </w:rPr>
        <w:t>市场风险： 部分适应症（如多发性骨髓瘤）市场竞争已较为激烈，新药上市后的商业化放量可能面临价格压力与医保谈判不确定性的挑战。中美地缘政治风险也可能对出海交易产生影响。</w:t>
      </w:r>
    </w:p>
    <w:p>
      <w:pPr>
        <w:pStyle w:val="Heading1"/>
      </w:pPr>
      <w:r>
        <w:rPr>
          <w:rFonts w:ascii="Arial" w:hAnsi="Arial" w:eastAsia="PingFang SC"/>
        </w:rPr>
        <w:t>8. Appendix: All Articles Reviewed</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1632"/>
            <w:shd w:fill="EAF2F8"/>
          </w:tcPr>
          <w:p>
            <w:r>
              <w:rPr>
                <w:rFonts w:ascii="Arial" w:hAnsi="Arial" w:eastAsia="PingFang SC"/>
                <w:sz w:val="17"/>
              </w:rPr>
              <w:t>Date</w:t>
            </w:r>
          </w:p>
        </w:tc>
        <w:tc>
          <w:tcPr>
            <w:tcW w:type="dxa" w:w="1632"/>
            <w:shd w:fill="EAF2F8"/>
          </w:tcPr>
          <w:p>
            <w:r>
              <w:rPr>
                <w:rFonts w:ascii="Arial" w:hAnsi="Arial" w:eastAsia="PingFang SC"/>
                <w:sz w:val="17"/>
              </w:rPr>
              <w:t>Title</w:t>
            </w:r>
          </w:p>
        </w:tc>
        <w:tc>
          <w:tcPr>
            <w:tcW w:type="dxa" w:w="1632"/>
            <w:shd w:fill="EAF2F8"/>
          </w:tcPr>
          <w:p>
            <w:r>
              <w:rPr>
                <w:rFonts w:ascii="Arial" w:hAnsi="Arial" w:eastAsia="PingFang SC"/>
                <w:sz w:val="17"/>
              </w:rPr>
              <w:t>Category</w:t>
            </w:r>
          </w:p>
        </w:tc>
        <w:tc>
          <w:tcPr>
            <w:tcW w:type="dxa" w:w="1632"/>
            <w:shd w:fill="EAF2F8"/>
          </w:tcPr>
          <w:p>
            <w:r>
              <w:rPr>
                <w:rFonts w:ascii="Arial" w:hAnsi="Arial" w:eastAsia="PingFang SC"/>
                <w:sz w:val="17"/>
              </w:rPr>
              <w:t>Relevance Score</w:t>
            </w:r>
          </w:p>
        </w:tc>
        <w:tc>
          <w:tcPr>
            <w:tcW w:type="dxa" w:w="1632"/>
            <w:shd w:fill="EAF2F8"/>
          </w:tcPr>
          <w:p>
            <w:r>
              <w:rPr>
                <w:rFonts w:ascii="Arial" w:hAnsi="Arial" w:eastAsia="PingFang SC"/>
                <w:sz w:val="17"/>
              </w:rPr>
              <w:t>Amcor Relevance</w:t>
            </w:r>
          </w:p>
        </w:tc>
        <w:tc>
          <w:tcPr>
            <w:tcW w:type="dxa" w:w="1632"/>
            <w:shd w:fill="EAF2F8"/>
          </w:tcPr>
          <w:p>
            <w:r>
              <w:rPr>
                <w:rFonts w:ascii="Arial" w:hAnsi="Arial" w:eastAsia="PingFang SC"/>
                <w:sz w:val="17"/>
              </w:rPr>
              <w:t>Link</w:t>
            </w:r>
          </w:p>
        </w:tc>
      </w:tr>
      <w:tr>
        <w:tc>
          <w:tcPr>
            <w:tcW w:type="dxa" w:w="1632"/>
          </w:tcPr>
          <w:p>
            <w:r>
              <w:rPr>
                <w:rFonts w:ascii="Arial" w:hAnsi="Arial" w:eastAsia="PingFang SC"/>
                <w:sz w:val="17"/>
              </w:rPr>
              <w:t>2026-06-30</w:t>
            </w:r>
          </w:p>
        </w:tc>
        <w:tc>
          <w:tcPr>
            <w:tcW w:type="dxa" w:w="1632"/>
          </w:tcPr>
          <w:p>
            <w:r>
              <w:rPr>
                <w:rFonts w:ascii="Arial" w:hAnsi="Arial" w:eastAsia="PingFang SC"/>
                <w:sz w:val="17"/>
              </w:rPr>
              <w:t>恒瑞重磅 ADC 又一适应症申报上市</w:t>
            </w:r>
          </w:p>
        </w:tc>
        <w:tc>
          <w:tcPr>
            <w:tcW w:type="dxa" w:w="1632"/>
          </w:tcPr>
          <w:p>
            <w:r>
              <w:rPr>
                <w:rFonts w:ascii="Arial" w:hAnsi="Arial" w:eastAsia="PingFang SC"/>
                <w:sz w:val="17"/>
              </w:rPr>
              <w:t>新药申报/获批</w:t>
            </w:r>
          </w:p>
        </w:tc>
        <w:tc>
          <w:tcPr>
            <w:tcW w:type="dxa" w:w="1632"/>
          </w:tcPr>
          <w:p>
            <w:r>
              <w:rPr>
                <w:rFonts w:ascii="Arial" w:hAnsi="Arial" w:eastAsia="PingFang SC"/>
                <w:sz w:val="17"/>
              </w:rPr>
              <w:t>18</w:t>
            </w:r>
          </w:p>
        </w:tc>
        <w:tc>
          <w:tcPr>
            <w:tcW w:type="dxa" w:w="1632"/>
          </w:tcPr>
          <w:p>
            <w:r>
              <w:rPr>
                <w:rFonts w:ascii="Arial" w:hAnsi="Arial" w:eastAsia="PingFang SC"/>
                <w:sz w:val="17"/>
              </w:rPr>
              <w:t>Medium</w:t>
            </w:r>
          </w:p>
        </w:tc>
        <w:tc>
          <w:tcPr>
            <w:tcW w:type="dxa" w:w="1632"/>
          </w:tcPr>
          <w:p>
            <w:r>
              <w:rPr>
                <w:rFonts w:ascii="Arial" w:hAnsi="Arial" w:eastAsia="PingFang SC"/>
                <w:sz w:val="17"/>
              </w:rPr>
              <w:t>[Link](https://mp.weixin.qq.com/s/hLeMrJJFUenlLdhuP3hdTg)</w:t>
            </w:r>
          </w:p>
        </w:tc>
      </w:tr>
      <w:tr>
        <w:tc>
          <w:tcPr>
            <w:tcW w:type="dxa" w:w="1632"/>
          </w:tcPr>
          <w:p>
            <w:r>
              <w:rPr>
                <w:rFonts w:ascii="Arial" w:hAnsi="Arial" w:eastAsia="PingFang SC"/>
                <w:sz w:val="17"/>
              </w:rPr>
              <w:t>2026-06-30</w:t>
            </w:r>
          </w:p>
        </w:tc>
        <w:tc>
          <w:tcPr>
            <w:tcW w:type="dxa" w:w="1632"/>
          </w:tcPr>
          <w:p>
            <w:r>
              <w:rPr>
                <w:rFonts w:ascii="Arial" w:hAnsi="Arial" w:eastAsia="PingFang SC"/>
                <w:sz w:val="17"/>
              </w:rPr>
              <w:t>国内进度领先！宜联生物 1 类新药拟纳入优先审评</w:t>
            </w:r>
          </w:p>
        </w:tc>
        <w:tc>
          <w:tcPr>
            <w:tcW w:type="dxa" w:w="1632"/>
          </w:tcPr>
          <w:p>
            <w:r>
              <w:rPr>
                <w:rFonts w:ascii="Arial" w:hAnsi="Arial" w:eastAsia="PingFang SC"/>
                <w:sz w:val="17"/>
              </w:rPr>
              <w:t>新药申报/获批</w:t>
            </w:r>
          </w:p>
        </w:tc>
        <w:tc>
          <w:tcPr>
            <w:tcW w:type="dxa" w:w="1632"/>
          </w:tcPr>
          <w:p>
            <w:r>
              <w:rPr>
                <w:rFonts w:ascii="Arial" w:hAnsi="Arial" w:eastAsia="PingFang SC"/>
                <w:sz w:val="17"/>
              </w:rPr>
              <w:t>18</w:t>
            </w:r>
          </w:p>
        </w:tc>
        <w:tc>
          <w:tcPr>
            <w:tcW w:type="dxa" w:w="1632"/>
          </w:tcPr>
          <w:p>
            <w:r>
              <w:rPr>
                <w:rFonts w:ascii="Arial" w:hAnsi="Arial" w:eastAsia="PingFang SC"/>
                <w:sz w:val="17"/>
              </w:rPr>
              <w:t>Medium</w:t>
            </w:r>
          </w:p>
        </w:tc>
        <w:tc>
          <w:tcPr>
            <w:tcW w:type="dxa" w:w="1632"/>
          </w:tcPr>
          <w:p>
            <w:r>
              <w:rPr>
                <w:rFonts w:ascii="Arial" w:hAnsi="Arial" w:eastAsia="PingFang SC"/>
                <w:sz w:val="17"/>
              </w:rPr>
              <w:t>[Link](https://mp.weixin.qq.com/s/6wRU-mgWplYMtJMrXP5DiA)</w:t>
            </w:r>
          </w:p>
        </w:tc>
      </w:tr>
      <w:tr>
        <w:tc>
          <w:tcPr>
            <w:tcW w:type="dxa" w:w="1632"/>
          </w:tcPr>
          <w:p>
            <w:r>
              <w:rPr>
                <w:rFonts w:ascii="Arial" w:hAnsi="Arial" w:eastAsia="PingFang SC"/>
                <w:sz w:val="17"/>
              </w:rPr>
              <w:t>2026-06-30</w:t>
            </w:r>
          </w:p>
        </w:tc>
        <w:tc>
          <w:tcPr>
            <w:tcW w:type="dxa" w:w="1632"/>
          </w:tcPr>
          <w:p>
            <w:r>
              <w:rPr>
                <w:rFonts w:ascii="Arial" w:hAnsi="Arial" w:eastAsia="PingFang SC"/>
                <w:sz w:val="17"/>
              </w:rPr>
              <w:t>2026 下半年，这 10 款重磅新药有望在中国获批上市</w:t>
            </w:r>
          </w:p>
        </w:tc>
        <w:tc>
          <w:tcPr>
            <w:tcW w:type="dxa" w:w="1632"/>
          </w:tcPr>
          <w:p>
            <w:r>
              <w:rPr>
                <w:rFonts w:ascii="Arial" w:hAnsi="Arial" w:eastAsia="PingFang SC"/>
                <w:sz w:val="17"/>
              </w:rPr>
              <w:t>新药申报/获批</w:t>
            </w:r>
          </w:p>
        </w:tc>
        <w:tc>
          <w:tcPr>
            <w:tcW w:type="dxa" w:w="1632"/>
          </w:tcPr>
          <w:p>
            <w:r>
              <w:rPr>
                <w:rFonts w:ascii="Arial" w:hAnsi="Arial" w:eastAsia="PingFang SC"/>
                <w:sz w:val="17"/>
              </w:rPr>
              <w:t>18</w:t>
            </w:r>
          </w:p>
        </w:tc>
        <w:tc>
          <w:tcPr>
            <w:tcW w:type="dxa" w:w="1632"/>
          </w:tcPr>
          <w:p>
            <w:r>
              <w:rPr>
                <w:rFonts w:ascii="Arial" w:hAnsi="Arial" w:eastAsia="PingFang SC"/>
                <w:sz w:val="17"/>
              </w:rPr>
              <w:t>Low</w:t>
            </w:r>
          </w:p>
        </w:tc>
        <w:tc>
          <w:tcPr>
            <w:tcW w:type="dxa" w:w="1632"/>
          </w:tcPr>
          <w:p>
            <w:r>
              <w:rPr>
                <w:rFonts w:ascii="Arial" w:hAnsi="Arial" w:eastAsia="PingFang SC"/>
                <w:sz w:val="17"/>
              </w:rPr>
              <w:t>[Link](https://mp.weixin.qq.com/s/2zTl0ffZcm5TrZGxleDOhA)</w:t>
            </w:r>
          </w:p>
        </w:tc>
      </w:tr>
      <w:tr>
        <w:tc>
          <w:tcPr>
            <w:tcW w:type="dxa" w:w="1632"/>
          </w:tcPr>
          <w:p>
            <w:r>
              <w:rPr>
                <w:rFonts w:ascii="Arial" w:hAnsi="Arial" w:eastAsia="PingFang SC"/>
                <w:sz w:val="17"/>
              </w:rPr>
              <w:t>2026-06-28</w:t>
            </w:r>
          </w:p>
        </w:tc>
        <w:tc>
          <w:tcPr>
            <w:tcW w:type="dxa" w:w="1632"/>
          </w:tcPr>
          <w:p>
            <w:r>
              <w:rPr>
                <w:rFonts w:ascii="Arial" w:hAnsi="Arial" w:eastAsia="PingFang SC"/>
                <w:sz w:val="17"/>
              </w:rPr>
              <w:t>全球首款双抗 ADC、全球首款实体瘤 CAR-T 获批…</w:t>
            </w:r>
          </w:p>
        </w:tc>
        <w:tc>
          <w:tcPr>
            <w:tcW w:type="dxa" w:w="1632"/>
          </w:tcPr>
          <w:p>
            <w:r>
              <w:rPr>
                <w:rFonts w:ascii="Arial" w:hAnsi="Arial" w:eastAsia="PingFang SC"/>
                <w:sz w:val="17"/>
              </w:rPr>
              <w:t>新药申报/获批</w:t>
            </w:r>
          </w:p>
        </w:tc>
        <w:tc>
          <w:tcPr>
            <w:tcW w:type="dxa" w:w="1632"/>
          </w:tcPr>
          <w:p>
            <w:r>
              <w:rPr>
                <w:rFonts w:ascii="Arial" w:hAnsi="Arial" w:eastAsia="PingFang SC"/>
                <w:sz w:val="17"/>
              </w:rPr>
              <w:t>18</w:t>
            </w:r>
          </w:p>
        </w:tc>
        <w:tc>
          <w:tcPr>
            <w:tcW w:type="dxa" w:w="1632"/>
          </w:tcPr>
          <w:p>
            <w:r>
              <w:rPr>
                <w:rFonts w:ascii="Arial" w:hAnsi="Arial" w:eastAsia="PingFang SC"/>
                <w:sz w:val="17"/>
              </w:rPr>
              <w:t>None</w:t>
            </w:r>
          </w:p>
        </w:tc>
        <w:tc>
          <w:tcPr>
            <w:tcW w:type="dxa" w:w="1632"/>
          </w:tcPr>
          <w:p>
            <w:r>
              <w:rPr>
                <w:rFonts w:ascii="Arial" w:hAnsi="Arial" w:eastAsia="PingFang SC"/>
                <w:sz w:val="17"/>
              </w:rPr>
              <w:t>[Link](https://mp.weixin.qq.com/s/OKIvPR83H6jVkgq-Zd7ohg)</w:t>
            </w:r>
          </w:p>
        </w:tc>
      </w:tr>
      <w:tr>
        <w:tc>
          <w:tcPr>
            <w:tcW w:type="dxa" w:w="1632"/>
          </w:tcPr>
          <w:p>
            <w:r>
              <w:rPr>
                <w:rFonts w:ascii="Arial" w:hAnsi="Arial" w:eastAsia="PingFang SC"/>
                <w:sz w:val="17"/>
              </w:rPr>
              <w:t>2026-07-02</w:t>
            </w:r>
          </w:p>
        </w:tc>
        <w:tc>
          <w:tcPr>
            <w:tcW w:type="dxa" w:w="1632"/>
          </w:tcPr>
          <w:p>
            <w:r>
              <w:rPr>
                <w:rFonts w:ascii="Arial" w:hAnsi="Arial" w:eastAsia="PingFang SC"/>
                <w:sz w:val="17"/>
              </w:rPr>
              <w:t>国内新药进展大 PK！恒瑞登顶，三生、海思科、长春高新上榜前十</w:t>
            </w:r>
          </w:p>
        </w:tc>
        <w:tc>
          <w:tcPr>
            <w:tcW w:type="dxa" w:w="1632"/>
          </w:tcPr>
          <w:p>
            <w:r>
              <w:rPr>
                <w:rFonts w:ascii="Arial" w:hAnsi="Arial" w:eastAsia="PingFang SC"/>
                <w:sz w:val="17"/>
              </w:rPr>
              <w:t>新药申报/获批</w:t>
            </w:r>
          </w:p>
        </w:tc>
        <w:tc>
          <w:tcPr>
            <w:tcW w:type="dxa" w:w="1632"/>
          </w:tcPr>
          <w:p>
            <w:r>
              <w:rPr>
                <w:rFonts w:ascii="Arial" w:hAnsi="Arial" w:eastAsia="PingFang SC"/>
                <w:sz w:val="17"/>
              </w:rPr>
              <w:t>17</w:t>
            </w:r>
          </w:p>
        </w:tc>
        <w:tc>
          <w:tcPr>
            <w:tcW w:type="dxa" w:w="1632"/>
          </w:tcPr>
          <w:p>
            <w:r>
              <w:rPr>
                <w:rFonts w:ascii="Arial" w:hAnsi="Arial" w:eastAsia="PingFang SC"/>
                <w:sz w:val="17"/>
              </w:rPr>
              <w:t>Medium</w:t>
            </w:r>
          </w:p>
        </w:tc>
        <w:tc>
          <w:tcPr>
            <w:tcW w:type="dxa" w:w="1632"/>
          </w:tcPr>
          <w:p>
            <w:r>
              <w:rPr>
                <w:rFonts w:ascii="Arial" w:hAnsi="Arial" w:eastAsia="PingFang SC"/>
                <w:sz w:val="17"/>
              </w:rPr>
              <w:t>[Link](https://mp.weixin.qq.com/s/2sU7naJVIRIjeynAa_3q_g)</w:t>
            </w:r>
          </w:p>
        </w:tc>
      </w:tr>
      <w:tr>
        <w:tc>
          <w:tcPr>
            <w:tcW w:type="dxa" w:w="1632"/>
          </w:tcPr>
          <w:p>
            <w:r>
              <w:rPr>
                <w:rFonts w:ascii="Arial" w:hAnsi="Arial" w:eastAsia="PingFang SC"/>
                <w:sz w:val="17"/>
              </w:rPr>
              <w:t>2026-07-01</w:t>
            </w:r>
          </w:p>
        </w:tc>
        <w:tc>
          <w:tcPr>
            <w:tcW w:type="dxa" w:w="1632"/>
          </w:tcPr>
          <w:p>
            <w:r>
              <w:rPr>
                <w:rFonts w:ascii="Arial" w:hAnsi="Arial" w:eastAsia="PingFang SC"/>
                <w:sz w:val="17"/>
              </w:rPr>
              <w:t>中国药企杀疯了！半年狂揽近 1000 亿美元出海大单</w:t>
            </w:r>
          </w:p>
        </w:tc>
        <w:tc>
          <w:tcPr>
            <w:tcW w:type="dxa" w:w="1632"/>
          </w:tcPr>
          <w:p>
            <w:r>
              <w:rPr>
                <w:rFonts w:ascii="Arial" w:hAnsi="Arial" w:eastAsia="PingFang SC"/>
                <w:sz w:val="17"/>
              </w:rPr>
              <w:t>BD出海</w:t>
            </w:r>
          </w:p>
        </w:tc>
        <w:tc>
          <w:tcPr>
            <w:tcW w:type="dxa" w:w="1632"/>
          </w:tcPr>
          <w:p>
            <w:r>
              <w:rPr>
                <w:rFonts w:ascii="Arial" w:hAnsi="Arial" w:eastAsia="PingFang SC"/>
                <w:sz w:val="17"/>
              </w:rPr>
              <w:t>13</w:t>
            </w:r>
          </w:p>
        </w:tc>
        <w:tc>
          <w:tcPr>
            <w:tcW w:type="dxa" w:w="1632"/>
          </w:tcPr>
          <w:p>
            <w:r>
              <w:rPr>
                <w:rFonts w:ascii="Arial" w:hAnsi="Arial" w:eastAsia="PingFang SC"/>
                <w:sz w:val="17"/>
              </w:rPr>
              <w:t>None</w:t>
            </w:r>
          </w:p>
        </w:tc>
        <w:tc>
          <w:tcPr>
            <w:tcW w:type="dxa" w:w="1632"/>
          </w:tcPr>
          <w:p>
            <w:r>
              <w:rPr>
                <w:rFonts w:ascii="Arial" w:hAnsi="Arial" w:eastAsia="PingFang SC"/>
                <w:sz w:val="17"/>
              </w:rPr>
              <w:t>[Link](https://mp.weixin.qq.com/s/75akH29rgNPeT6DGMvfXXw)</w:t>
            </w:r>
          </w:p>
        </w:tc>
      </w:tr>
      <w:tr>
        <w:tc>
          <w:tcPr>
            <w:tcW w:type="dxa" w:w="1632"/>
          </w:tcPr>
          <w:p>
            <w:r>
              <w:rPr>
                <w:rFonts w:ascii="Arial" w:hAnsi="Arial" w:eastAsia="PingFang SC"/>
                <w:sz w:val="17"/>
              </w:rPr>
              <w:t>2026-07-01</w:t>
            </w:r>
          </w:p>
        </w:tc>
        <w:tc>
          <w:tcPr>
            <w:tcW w:type="dxa" w:w="1632"/>
          </w:tcPr>
          <w:p>
            <w:r>
              <w:rPr>
                <w:rFonts w:ascii="Arial" w:hAnsi="Arial" w:eastAsia="PingFang SC"/>
                <w:sz w:val="17"/>
              </w:rPr>
              <w:t>一个月内，睿健医药再获 2.6 亿元 C+轮融资</w:t>
            </w:r>
          </w:p>
        </w:tc>
        <w:tc>
          <w:tcPr>
            <w:tcW w:type="dxa" w:w="1632"/>
          </w:tcPr>
          <w:p>
            <w:r>
              <w:rPr>
                <w:rFonts w:ascii="Arial" w:hAnsi="Arial" w:eastAsia="PingFang SC"/>
                <w:sz w:val="17"/>
              </w:rPr>
              <w:t>融资并购</w:t>
            </w:r>
          </w:p>
        </w:tc>
        <w:tc>
          <w:tcPr>
            <w:tcW w:type="dxa" w:w="1632"/>
          </w:tcPr>
          <w:p>
            <w:r>
              <w:rPr>
                <w:rFonts w:ascii="Arial" w:hAnsi="Arial" w:eastAsia="PingFang SC"/>
                <w:sz w:val="17"/>
              </w:rPr>
              <w:t>12</w:t>
            </w:r>
          </w:p>
        </w:tc>
        <w:tc>
          <w:tcPr>
            <w:tcW w:type="dxa" w:w="1632"/>
          </w:tcPr>
          <w:p>
            <w:r>
              <w:rPr>
                <w:rFonts w:ascii="Arial" w:hAnsi="Arial" w:eastAsia="PingFang SC"/>
                <w:sz w:val="17"/>
              </w:rPr>
              <w:t>None</w:t>
            </w:r>
          </w:p>
        </w:tc>
        <w:tc>
          <w:tcPr>
            <w:tcW w:type="dxa" w:w="1632"/>
          </w:tcPr>
          <w:p>
            <w:r>
              <w:rPr>
                <w:rFonts w:ascii="Arial" w:hAnsi="Arial" w:eastAsia="PingFang SC"/>
                <w:sz w:val="17"/>
              </w:rPr>
              <w:t>[Link](https://mp.weixin.qq.com/s/GA3WscPPt4bMASmbb8RU9w)</w:t>
            </w:r>
          </w:p>
        </w:tc>
      </w:tr>
    </w:tbl>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PingFang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