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F07C7" w14:textId="35F3F3D7" w:rsidR="001F7B90" w:rsidRDefault="001F7B90" w:rsidP="001F7B90">
      <w:pPr>
        <w:widowControl/>
        <w:autoSpaceDE/>
        <w:autoSpaceDN/>
        <w:spacing w:line="480" w:lineRule="auto"/>
        <w:ind w:left="720" w:hanging="720"/>
        <w:textAlignment w:val="baseline"/>
        <w:rPr>
          <w:rFonts w:eastAsia="Times New Roman" w:cs="Times New Roman"/>
        </w:rPr>
      </w:pPr>
      <w:r w:rsidRPr="001F7B90">
        <w:rPr>
          <w:rFonts w:eastAsia="Times New Roman" w:cs="Times New Roman"/>
        </w:rPr>
        <w:t xml:space="preserve">SHACKELFORD, S. J., PROIA, A. A., MARTELL, B., &amp; CRAIG, A. N. (2015). Toward a Global Cybersecurity Standard of </w:t>
      </w:r>
      <w:proofErr w:type="gramStart"/>
      <w:r w:rsidRPr="001F7B90">
        <w:rPr>
          <w:rFonts w:eastAsia="Times New Roman" w:cs="Times New Roman"/>
        </w:rPr>
        <w:t>Care?:</w:t>
      </w:r>
      <w:proofErr w:type="gramEnd"/>
      <w:r w:rsidRPr="001F7B90">
        <w:rPr>
          <w:rFonts w:eastAsia="Times New Roman" w:cs="Times New Roman"/>
        </w:rPr>
        <w:t xml:space="preserve"> Exploring the Implications of the 2014 NIST Cybersecurity Framework on Shaping Reasonable National and International Cybersecurity Practices. </w:t>
      </w:r>
      <w:r w:rsidRPr="001F7B90">
        <w:rPr>
          <w:rFonts w:eastAsia="Times New Roman" w:cs="Times New Roman"/>
          <w:i/>
          <w:iCs/>
          <w:bdr w:val="none" w:sz="0" w:space="0" w:color="auto" w:frame="1"/>
        </w:rPr>
        <w:t>Texas International Law Journal</w:t>
      </w:r>
      <w:r w:rsidRPr="001F7B90">
        <w:rPr>
          <w:rFonts w:eastAsia="Times New Roman" w:cs="Times New Roman"/>
        </w:rPr>
        <w:t>, </w:t>
      </w:r>
      <w:r w:rsidRPr="001F7B90">
        <w:rPr>
          <w:rFonts w:eastAsia="Times New Roman" w:cs="Times New Roman"/>
          <w:i/>
          <w:iCs/>
          <w:bdr w:val="none" w:sz="0" w:space="0" w:color="auto" w:frame="1"/>
        </w:rPr>
        <w:t>50</w:t>
      </w:r>
      <w:r w:rsidRPr="001F7B90">
        <w:rPr>
          <w:rFonts w:eastAsia="Times New Roman" w:cs="Times New Roman"/>
        </w:rPr>
        <w:t>(2), 303–353.</w:t>
      </w:r>
    </w:p>
    <w:p w14:paraId="6ADE5904" w14:textId="09CF6D0B" w:rsidR="001F7B90" w:rsidRDefault="001F7B90" w:rsidP="00044064">
      <w:pPr>
        <w:widowControl/>
        <w:autoSpaceDE/>
        <w:autoSpaceDN/>
        <w:spacing w:line="480" w:lineRule="auto"/>
        <w:ind w:firstLine="720"/>
        <w:textAlignment w:val="baseline"/>
        <w:rPr>
          <w:rFonts w:eastAsia="Times New Roman" w:cs="Times New Roman"/>
        </w:rPr>
      </w:pPr>
      <w:r w:rsidRPr="001F7B90">
        <w:rPr>
          <w:rFonts w:eastAsia="Times New Roman" w:cs="Times New Roman"/>
        </w:rPr>
        <w:t>“</w:t>
      </w:r>
      <w:r w:rsidRPr="001F7B90">
        <w:rPr>
          <w:rFonts w:eastAsia="Times New Roman" w:cs="Times New Roman"/>
        </w:rPr>
        <w:t>This Article analyzes the emerging </w:t>
      </w:r>
      <w:r w:rsidRPr="001F7B90">
        <w:rPr>
          <w:rFonts w:eastAsia="Times New Roman" w:cs="Times New Roman"/>
          <w:bdr w:val="none" w:sz="0" w:space="0" w:color="auto" w:frame="1"/>
        </w:rPr>
        <w:t>cybersecurity</w:t>
      </w:r>
      <w:r w:rsidRPr="001F7B90">
        <w:rPr>
          <w:rFonts w:eastAsia="Times New Roman" w:cs="Times New Roman"/>
        </w:rPr>
        <w:t> duty of care and examines the potential impact of the 2014 National Institute of Standards and Technology (</w:t>
      </w:r>
      <w:r w:rsidRPr="001F7B90">
        <w:rPr>
          <w:rFonts w:eastAsia="Times New Roman" w:cs="Times New Roman"/>
          <w:bdr w:val="none" w:sz="0" w:space="0" w:color="auto" w:frame="1"/>
        </w:rPr>
        <w:t>NIST</w:t>
      </w:r>
      <w:r w:rsidRPr="001F7B90">
        <w:rPr>
          <w:rFonts w:eastAsia="Times New Roman" w:cs="Times New Roman"/>
        </w:rPr>
        <w:t>) </w:t>
      </w:r>
      <w:r w:rsidRPr="001F7B90">
        <w:rPr>
          <w:rFonts w:eastAsia="Times New Roman" w:cs="Times New Roman"/>
          <w:bdr w:val="none" w:sz="0" w:space="0" w:color="auto" w:frame="1"/>
        </w:rPr>
        <w:t>Cybersecurity</w:t>
      </w:r>
      <w:r w:rsidRPr="001F7B90">
        <w:rPr>
          <w:rFonts w:eastAsia="Times New Roman" w:cs="Times New Roman"/>
        </w:rPr>
        <w:t> </w:t>
      </w:r>
      <w:r w:rsidRPr="001F7B90">
        <w:rPr>
          <w:rFonts w:eastAsia="Times New Roman" w:cs="Times New Roman"/>
          <w:bdr w:val="none" w:sz="0" w:space="0" w:color="auto" w:frame="1"/>
        </w:rPr>
        <w:t>Framework</w:t>
      </w:r>
      <w:r w:rsidRPr="001F7B90">
        <w:rPr>
          <w:rFonts w:eastAsia="Times New Roman" w:cs="Times New Roman"/>
        </w:rPr>
        <w:t> on shaping reasonable standards of </w:t>
      </w:r>
      <w:r w:rsidRPr="001F7B90">
        <w:rPr>
          <w:rFonts w:eastAsia="Times New Roman" w:cs="Times New Roman"/>
          <w:bdr w:val="none" w:sz="0" w:space="0" w:color="auto" w:frame="1"/>
        </w:rPr>
        <w:t>cybersecurity</w:t>
      </w:r>
      <w:r w:rsidRPr="001F7B90">
        <w:rPr>
          <w:rFonts w:eastAsia="Times New Roman" w:cs="Times New Roman"/>
          <w:bdr w:val="none" w:sz="0" w:space="0" w:color="auto" w:frame="1"/>
        </w:rPr>
        <w:t>”</w:t>
      </w:r>
      <w:r w:rsidRPr="001F7B90">
        <w:rPr>
          <w:rFonts w:eastAsia="Times New Roman" w:cs="Times New Roman"/>
        </w:rPr>
        <w:t>.</w:t>
      </w:r>
      <w:r w:rsidRPr="001F7B90">
        <w:rPr>
          <w:rFonts w:eastAsia="Times New Roman" w:cs="Times New Roman"/>
        </w:rPr>
        <w:t xml:space="preserve"> (</w:t>
      </w:r>
      <w:r>
        <w:rPr>
          <w:rFonts w:eastAsia="Times New Roman" w:cs="Times New Roman"/>
        </w:rPr>
        <w:t>Shackelford</w:t>
      </w:r>
      <w:r w:rsidRPr="001F7B90">
        <w:rPr>
          <w:rFonts w:eastAsia="Times New Roman" w:cs="Times New Roman"/>
        </w:rPr>
        <w:t>, Abstract)</w:t>
      </w:r>
      <w:r>
        <w:rPr>
          <w:rFonts w:eastAsia="Times New Roman" w:cs="Times New Roman"/>
        </w:rPr>
        <w:t xml:space="preserve"> The main takeaway from this article is the best practices framework.</w:t>
      </w:r>
    </w:p>
    <w:p w14:paraId="7596EE33" w14:textId="5C9AEC11" w:rsidR="00044064" w:rsidRPr="00044064" w:rsidRDefault="00044064" w:rsidP="00044064">
      <w:pPr>
        <w:widowControl/>
        <w:autoSpaceDE/>
        <w:autoSpaceDN/>
        <w:spacing w:line="480" w:lineRule="auto"/>
        <w:ind w:firstLine="720"/>
        <w:textAlignment w:val="baseline"/>
        <w:rPr>
          <w:rFonts w:eastAsia="Times New Roman" w:cs="Times New Roman"/>
        </w:rPr>
      </w:pPr>
      <w:r w:rsidRPr="00044064">
        <w:rPr>
          <w:rFonts w:cs="Times New Roman"/>
          <w:color w:val="000000"/>
          <w:shd w:val="clear" w:color="auto" w:fill="FFFFFF"/>
        </w:rPr>
        <w:t>The Texas International Law Journal is a student-run organization that delivers leading scholarship related to international legal, theoretical, and policy analysis. </w:t>
      </w:r>
      <w:r w:rsidRPr="00044064">
        <w:rPr>
          <w:rFonts w:eastAsia="Times New Roman" w:cs="Times New Roman"/>
          <w:bdr w:val="none" w:sz="0" w:space="0" w:color="auto" w:frame="1"/>
        </w:rPr>
        <w:t>Texas International Law Journal is the property of University of Texas at Austin School of Law</w:t>
      </w:r>
    </w:p>
    <w:p w14:paraId="08FA50B0" w14:textId="77777777" w:rsidR="001F7B90" w:rsidRPr="001F7B90" w:rsidRDefault="001F7B90" w:rsidP="001F7B90">
      <w:pPr>
        <w:rPr>
          <w:rFonts w:cs="Times New Roman"/>
          <w:sz w:val="22"/>
          <w:szCs w:val="22"/>
        </w:rPr>
      </w:pPr>
    </w:p>
    <w:p w14:paraId="080C9C4D" w14:textId="77777777" w:rsidR="001D6978" w:rsidRDefault="001D6978"/>
    <w:sectPr w:rsidR="001D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90"/>
    <w:rsid w:val="00044064"/>
    <w:rsid w:val="001D6978"/>
    <w:rsid w:val="001F7B90"/>
    <w:rsid w:val="00297A06"/>
    <w:rsid w:val="00692F23"/>
    <w:rsid w:val="008A1E0C"/>
    <w:rsid w:val="00C45814"/>
    <w:rsid w:val="00FA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1E47"/>
  <w15:chartTrackingRefBased/>
  <w15:docId w15:val="{B12C8A00-8C35-4A38-AEB0-A2E3D1AE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B90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2021-04-04T01:16:00Z</dcterms:created>
  <dcterms:modified xsi:type="dcterms:W3CDTF">2021-04-04T01:16:00Z</dcterms:modified>
</cp:coreProperties>
</file>