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auditoría-de-seguridad--siprecom-api"/>
    <w:p>
      <w:pPr>
        <w:pStyle w:val="Heading1"/>
      </w:pPr>
      <w:r>
        <w:t xml:space="preserve">Auditoría de Seguridad — Siprecom API</w:t>
      </w:r>
    </w:p>
    <w:p>
      <w:pPr>
        <w:pStyle w:val="FirstParagraph"/>
      </w:pPr>
      <w:r>
        <w:rPr>
          <w:b/>
          <w:bCs/>
        </w:rPr>
        <w:t xml:space="preserve">Fecha</w:t>
      </w:r>
      <w:r>
        <w:t xml:space="preserve">: Mayo 2026</w:t>
      </w:r>
      <w:r>
        <w:t xml:space="preserve"> </w:t>
      </w:r>
      <w:r>
        <w:rPr>
          <w:b/>
          <w:bCs/>
        </w:rPr>
        <w:t xml:space="preserve">Alcance</w:t>
      </w:r>
      <w:r>
        <w:t xml:space="preserve">: API REST Siprecom (.NET 8) hospedada en Azure App Service</w:t>
      </w:r>
      <w:r>
        <w:t xml:space="preserve"> </w:t>
      </w:r>
      <w:r>
        <w:rPr>
          <w:b/>
          <w:bCs/>
        </w:rPr>
        <w:t xml:space="preserve">Tipo de evaluación</w:t>
      </w:r>
      <w:r>
        <w:t xml:space="preserve">: Auditoría interna preventiva + hardening pre-producción</w:t>
      </w:r>
    </w:p>
    <w:p>
      <w:r>
        <w:pict>
          <v:rect style="width:0;height:1.5pt" o:hralign="center" o:hrstd="t" o:hr="t"/>
        </w:pict>
      </w:r>
    </w:p>
    <w:bookmarkStart w:id="9" w:name="X5dd895b2072e59d4361bd2729ab69ff88775738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Se realizó una auditoría de seguridad interna sobre la API de Siprecom antes de su pase a producción definitivo. El objetivo fue identificar oportunidades de mejora en el postura de seguridad, aplicar hardening alineado con las mejores prácticas actuales (OWASP API Security Top 10 — 2023) y dejar el sistema en óptimas condiciones para una evaluación externa formal.</w:t>
      </w:r>
    </w:p>
    <w:p>
      <w:pPr>
        <w:pStyle w:val="BodyText"/>
      </w:pPr>
      <w:r>
        <w:rPr>
          <w:b/>
          <w:bCs/>
        </w:rPr>
        <w:t xml:space="preserve">Estado general del sistema</w:t>
      </w:r>
      <w:r>
        <w:t xml:space="preserve">: ✅ Saludable. La arquitectura de autenticación, la implementación de las máquinas de estado del flujo de negocio y el manejo de transacciones siguen patrones correctos. No se identificaron vulnerabilidades activas explotables al cierre de la auditoría.</w:t>
      </w:r>
    </w:p>
    <w:p>
      <w:pPr>
        <w:pStyle w:val="BodyText"/>
      </w:pPr>
      <w:r>
        <w:rPr>
          <w:b/>
          <w:bCs/>
        </w:rPr>
        <w:t xml:space="preserve">Mejoras aplicadas</w:t>
      </w:r>
      <w:r>
        <w:t xml:space="preserve">: 14 endurecimientos de seguridad orientados a defensa en profundidad.</w:t>
      </w:r>
    </w:p>
    <w:p>
      <w:pPr>
        <w:pStyle w:val="BodyText"/>
      </w:pPr>
      <w:r>
        <w:rPr>
          <w:b/>
          <w:bCs/>
        </w:rPr>
        <w:t xml:space="preserve">Próximo paso recomendado</w:t>
      </w:r>
      <w:r>
        <w:t xml:space="preserve">: pentest externo formal con un equipo independiente.</w:t>
      </w:r>
    </w:p>
    <w:p>
      <w:r>
        <w:pict>
          <v:rect style="width:0;height:1.5pt" o:hralign="center" o:hrstd="t" o:hr="t"/>
        </w:pict>
      </w:r>
    </w:p>
    <w:bookmarkEnd w:id="9"/>
    <w:bookmarkStart w:id="11" w:name="X70176dfd4083b9e5f625a28aac6c1a73d1a9391"/>
    <w:p>
      <w:pPr>
        <w:pStyle w:val="Heading2"/>
      </w:pPr>
      <w:r>
        <w:t xml:space="preserve">2. Metodología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Análisis estático automatizado</w:t>
            </w:r>
          </w:p>
        </w:tc>
        <w:tc>
          <w:tcPr/>
          <w:p>
            <w:pPr>
              <w:pStyle w:val="Compact"/>
            </w:pPr>
            <w:r>
              <w:t xml:space="preserve">Escaneo del código fuente con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Aikido.dev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Code review manual</w:t>
            </w:r>
          </w:p>
        </w:tc>
        <w:tc>
          <w:tcPr/>
          <w:p>
            <w:pPr>
              <w:pStyle w:val="Compact"/>
            </w:pPr>
            <w:r>
              <w:t xml:space="preserve">Revisión sistemática de controllers, services y configuración del pipeline ASP.NET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dinámicos (runtime)</w:t>
            </w:r>
          </w:p>
        </w:tc>
        <w:tc>
          <w:tcPr/>
          <w:p>
            <w:pPr>
              <w:pStyle w:val="Compact"/>
            </w:pPr>
            <w:r>
              <w:t xml:space="preserve">Ejecución de flujos completos con usuarios sintéticos creados específicamente para la auditoría, en entorno aislado de Azure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 de configuración</w:t>
            </w:r>
          </w:p>
        </w:tc>
        <w:tc>
          <w:tcPr/>
          <w:p>
            <w:pPr>
              <w:pStyle w:val="Compact"/>
            </w:pPr>
            <w:r>
              <w:t xml:space="preserve">Revisión de configuración de Azure App Service, App Registration en Entra ID, Identity, Azure Blob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 de referencia</w:t>
            </w:r>
          </w:p>
        </w:tc>
        <w:tc>
          <w:tcPr/>
          <w:p>
            <w:pPr>
              <w:pStyle w:val="Compact"/>
            </w:pPr>
            <w:r>
              <w:t xml:space="preserve">OWASP API Security Top 10 — 2023; Microsoft Identity Best Practices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001b7e304dacb38fb23c2f5b111d3c288f07516"/>
    <w:p>
      <w:pPr>
        <w:pStyle w:val="Heading2"/>
      </w:pPr>
      <w:r>
        <w:t xml:space="preserve">3. Stack auditado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Versión / 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backend</w:t>
            </w:r>
          </w:p>
        </w:tc>
        <w:tc>
          <w:tcPr/>
          <w:p>
            <w:pPr>
              <w:pStyle w:val="Compact"/>
            </w:pPr>
            <w:r>
              <w:t xml:space="preserve">.NET 8 (ASP.NET 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Entity Framework Core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Azure SQL (managed)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Microsoft Entra ID (OAuth 2.0 / OpenID Connect) + JWT propio para 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Almacenamiento de archivos</w:t>
            </w:r>
          </w:p>
        </w:tc>
        <w:tc>
          <w:tcPr/>
          <w:p>
            <w:pPr>
              <w:pStyle w:val="Compact"/>
            </w:pPr>
            <w:r>
              <w:t xml:space="preserve">Azure Blob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asociado</w:t>
            </w:r>
          </w:p>
        </w:tc>
        <w:tc>
          <w:tcPr/>
          <w:p>
            <w:pPr>
              <w:pStyle w:val="Compact"/>
            </w:pPr>
            <w:r>
              <w:t xml:space="preserve">Next.js 16 con MSAL.js (auditado parcialmente en su superficie de acceso al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Plataforma de hosting</w:t>
            </w:r>
          </w:p>
        </w:tc>
        <w:tc>
          <w:tcPr/>
          <w:p>
            <w:pPr>
              <w:pStyle w:val="Compact"/>
            </w:pPr>
            <w:r>
              <w:t xml:space="preserve">Azure App 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4" w:name="X5b7db49a345785cb70f31ddd11bc04be57468f7"/>
    <w:p>
      <w:pPr>
        <w:pStyle w:val="Heading2"/>
      </w:pPr>
      <w:r>
        <w:t xml:space="preserve">4. Resultados de la auditoría</w:t>
      </w:r>
    </w:p>
    <w:bookmarkStart w:id="17" w:name="Xc9411e9bf39b5e192b645df71f5898dce274163"/>
    <w:p>
      <w:pPr>
        <w:pStyle w:val="Heading3"/>
      </w:pPr>
      <w:r>
        <w:t xml:space="preserve">4.1 Componentes con implementación correcta (sin observaciones)</w:t>
      </w:r>
    </w:p>
    <w:p>
      <w:pPr>
        <w:pStyle w:val="FirstParagraph"/>
      </w:pPr>
      <w:r>
        <w:t xml:space="preserve">Estos elementos del sistema fueron auditados específicamente y su implementación se considera</w:t>
      </w:r>
      <w:r>
        <w:t xml:space="preserve"> </w:t>
      </w:r>
      <w:r>
        <w:rPr>
          <w:b/>
          <w:bCs/>
        </w:rPr>
        <w:t xml:space="preserve">correcta y robusta</w:t>
      </w:r>
      <w:r>
        <w:t xml:space="preserve">:</w:t>
      </w:r>
    </w:p>
    <w:bookmarkStart w:id="13" w:name="máquinas-de-estado-del-flujo-de-negocio"/>
    <w:p>
      <w:pPr>
        <w:pStyle w:val="Heading4"/>
      </w:pPr>
      <w:r>
        <w:t xml:space="preserve">Máquinas de estado del flujo de negocio</w:t>
      </w:r>
    </w:p>
    <w:p>
      <w:pPr>
        <w:pStyle w:val="FirstParagraph"/>
      </w:pPr>
      <w:r>
        <w:t xml:space="preserve">Se auditaron las transiciones de estado de las tres entidades principales del dominio: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Operaciones verificadas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de tareas (</w:t>
            </w:r>
            <w:r>
              <w:rPr>
                <w:rStyle w:val="VerbatimChar"/>
              </w:rPr>
              <w:t xml:space="preserve">ElementoTareaService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Inicio, completado, aprobación, rechazo, cancelación, reinicio, reactivación</w:t>
            </w:r>
          </w:p>
        </w:tc>
        <w:tc>
          <w:tcPr/>
          <w:p>
            <w:pPr>
              <w:pStyle w:val="Compact"/>
            </w:pPr>
            <w:r>
              <w:t xml:space="preserve">✓ Cada operación valida el estado previo antes de transicionar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de pendientes (</w:t>
            </w:r>
            <w:r>
              <w:rPr>
                <w:rStyle w:val="VerbatimChar"/>
              </w:rPr>
              <w:t xml:space="preserve">PendienteService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Envío a aprobación, aprobación de cierre, rechazo, cancelación</w:t>
            </w:r>
          </w:p>
        </w:tc>
        <w:tc>
          <w:tcPr/>
          <w:p>
            <w:pPr>
              <w:pStyle w:val="Compact"/>
            </w:pPr>
            <w:r>
              <w:t xml:space="preserve">✓ Uso consistente de helper de validación de estado origen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Registros (</w:t>
            </w:r>
            <w:r>
              <w:rPr>
                <w:rStyle w:val="VerbatimChar"/>
              </w:rPr>
              <w:t xml:space="preserve">RegistroService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Completar (digital/físico), firmar</w:t>
            </w:r>
          </w:p>
        </w:tc>
        <w:tc>
          <w:tcPr/>
          <w:p>
            <w:pPr>
              <w:pStyle w:val="Compact"/>
            </w:pPr>
            <w:r>
              <w:t xml:space="preserve">✓ Validación de estado en cada operación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se encontraron vectores de "salto de estados"</w:t>
      </w:r>
      <w:r>
        <w:t xml:space="preserve"> </w:t>
      </w:r>
      <w:r>
        <w:t xml:space="preserve">(por ejemplo, completar una tarea sin iniciarla, firmar un registro sin completarlo, aprobar un pendiente saltando el flujo de aprobación). La implementación de la lógica de negocio es sólida.</w:t>
      </w:r>
    </w:p>
    <w:bookmarkEnd w:id="13"/>
    <w:bookmarkStart w:id="14" w:name="aislamiento-entre-proyectos"/>
    <w:p>
      <w:pPr>
        <w:pStyle w:val="Heading4"/>
      </w:pPr>
      <w:r>
        <w:t xml:space="preserve">Aislamiento entre proyectos</w:t>
      </w:r>
    </w:p>
    <w:p>
      <w:pPr>
        <w:pStyle w:val="FirstParagraph"/>
      </w:pPr>
      <w:r>
        <w:t xml:space="preserve">El modelo de acceso multi-proyecto fue auditado y reforzado. El sistema cuenta ahora con un mecanismo automático a nivel de Entity Framework que garantiza que un usuario solo accede a los datos de los proyectos a los que está explícitamente asignado (a través de la tabla</w:t>
      </w:r>
      <w:r>
        <w:t xml:space="preserve"> </w:t>
      </w:r>
      <w:r>
        <w:rPr>
          <w:rStyle w:val="VerbatimChar"/>
        </w:rPr>
        <w:t xml:space="preserve">RecursosProyectos</w:t>
      </w:r>
      <w:r>
        <w:t xml:space="preserve">). Este mecanismo se aplica de forma transparente a 16 entidades principales y a 9 entidades secundarias relacionadas.</w:t>
      </w:r>
    </w:p>
    <w:p>
      <w:pPr>
        <w:pStyle w:val="BodyText"/>
      </w:pPr>
      <w:r>
        <w:rPr>
          <w:b/>
          <w:bCs/>
        </w:rPr>
        <w:t xml:space="preserve">Validación runtime</w:t>
      </w:r>
      <w:r>
        <w:t xml:space="preserve">: se ejecutaron pruebas cruzadas con usuarios pertenecientes a proyectos distintos. En todos los casos, los intentos de acceso a recursos fuera del alcance del usuario fueron correctamente rechazados con HTTP 404, sin filtración de información.</w:t>
      </w:r>
    </w:p>
    <w:bookmarkEnd w:id="14"/>
    <w:bookmarkStart w:id="15" w:name="protección-de-credenciales"/>
    <w:p>
      <w:pPr>
        <w:pStyle w:val="Heading4"/>
      </w:pPr>
      <w:r>
        <w:t xml:space="preserve">Protección de credenciales</w:t>
      </w:r>
    </w:p>
    <w:p>
      <w:pPr>
        <w:pStyle w:val="Compact"/>
        <w:numPr>
          <w:ilvl w:val="0"/>
          <w:numId w:val="1001"/>
        </w:numPr>
      </w:pPr>
      <w:r>
        <w:t xml:space="preserve">Las credenciales de servicios externos (Azure SQL, Microsoft Entra ID, Google OAuth, Azure Blob Storage) están aisladas del código fuente y gestionadas vía .NET User Secrets (desarrollo) y Azure App Service Environment Variables (producción).</w:t>
      </w:r>
    </w:p>
    <w:p>
      <w:pPr>
        <w:pStyle w:val="Compact"/>
        <w:numPr>
          <w:ilvl w:val="0"/>
          <w:numId w:val="1001"/>
        </w:numPr>
      </w:pPr>
      <w:r>
        <w:t xml:space="preserve">Las claves criptográficas del sistema de tokens fueron rotadas como parte del proceso de hardening.</w:t>
      </w:r>
    </w:p>
    <w:p>
      <w:pPr>
        <w:pStyle w:val="Compact"/>
        <w:numPr>
          <w:ilvl w:val="0"/>
          <w:numId w:val="1001"/>
        </w:numPr>
      </w:pPr>
      <w:r>
        <w:t xml:space="preserve">La aplicación está configurada para mantener un rotación periódica de credenciales (recomendación operativa).</w:t>
      </w:r>
    </w:p>
    <w:bookmarkEnd w:id="15"/>
    <w:bookmarkStart w:id="16" w:name="validación-de-inyección"/>
    <w:p>
      <w:pPr>
        <w:pStyle w:val="Heading4"/>
      </w:pPr>
      <w:r>
        <w:t xml:space="preserve">Validación de inyección</w:t>
      </w:r>
    </w:p>
    <w:p>
      <w:pPr>
        <w:pStyle w:val="FirstParagraph"/>
      </w:pPr>
      <w:r>
        <w:t xml:space="preserve">No se detectaron vectores de inyección SQL en el código auditado. Entity Framework Core emite consultas parametrizadas de forma automática y no se identificó uso de construcción manual de SQL con input del usuario.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92e427ff2d26dd7d429ef6c56e177773edfe574"/>
    <w:p>
      <w:pPr>
        <w:pStyle w:val="Heading3"/>
      </w:pPr>
      <w:r>
        <w:t xml:space="preserve">4.2 Mejoras de hardening aplicadas</w:t>
      </w:r>
    </w:p>
    <w:p>
      <w:pPr>
        <w:pStyle w:val="FirstParagraph"/>
      </w:pPr>
      <w:r>
        <w:t xml:space="preserve">Las siguientes mejoras fueron implementadas como parte del proceso de auditoría, alineadas con principios de</w:t>
      </w:r>
      <w:r>
        <w:t xml:space="preserve"> </w:t>
      </w:r>
      <w:r>
        <w:rPr>
          <w:b/>
          <w:bCs/>
        </w:rPr>
        <w:t xml:space="preserve">defensa en profundidad</w:t>
      </w:r>
      <w:r>
        <w:t xml:space="preserve">. Se trata principalmente de endurecimientos preventivos y mejores prácticas; ninguno representó un riesgo activo explotable al momento de la auditoría.</w:t>
      </w:r>
    </w:p>
    <w:bookmarkStart w:id="18" w:name="capa-de-transporte-y-headers"/>
    <w:p>
      <w:pPr>
        <w:pStyle w:val="Heading4"/>
      </w:pPr>
      <w:r>
        <w:t xml:space="preserve">Capa de transporte y headers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Mejora</w:t>
            </w:r>
          </w:p>
        </w:tc>
        <w:tc>
          <w:tcPr/>
          <w:p>
            <w:pPr>
              <w:pStyle w:val="Compact"/>
            </w:pPr>
            <w:r>
              <w:t xml:space="preserve">Beneficio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Política CORS restrictiva (whitelist de orígenes específicos)</w:t>
            </w:r>
          </w:p>
        </w:tc>
        <w:tc>
          <w:tcPr/>
          <w:p>
            <w:pPr>
              <w:pStyle w:val="Compact"/>
            </w:pPr>
            <w:r>
              <w:t xml:space="preserve">Defensa contra abusos cross-origin desde clientes no autorizados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Headers de seguridad HTTP completos:</w:t>
            </w:r>
            <w:r>
              <w:t xml:space="preserve"> </w:t>
            </w:r>
            <w:r>
              <w:rPr>
                <w:rStyle w:val="VerbatimChar"/>
              </w:rPr>
              <w:t xml:space="preserve">Strict-Transport-Security</w:t>
            </w:r>
            <w:r>
              <w:t xml:space="preserve"> </w:t>
            </w:r>
            <w:r>
              <w:t xml:space="preserve">(HSTS),</w:t>
            </w:r>
            <w:r>
              <w:t xml:space="preserve"> </w:t>
            </w:r>
            <w:r>
              <w:rPr>
                <w:rStyle w:val="VerbatimChar"/>
              </w:rPr>
              <w:t xml:space="preserve">Content-Security-Policy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X-Frame-Options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Referrer-Policy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Permissions-Policy</w:t>
            </w:r>
          </w:p>
        </w:tc>
        <w:tc>
          <w:tcPr/>
          <w:p>
            <w:pPr>
              <w:pStyle w:val="Compact"/>
            </w:pPr>
            <w:r>
              <w:t xml:space="preserve">Hardening de capa cliente — clickjacking, MIME-sniffing, sniffing de referrer,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Eliminación del header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  <w:r>
              <w:t xml:space="preserve"> </w:t>
            </w:r>
            <w:r>
              <w:t xml:space="preserve">(información de versión del servidor)</w:t>
            </w:r>
          </w:p>
        </w:tc>
        <w:tc>
          <w:tcPr/>
          <w:p>
            <w:pPr>
              <w:pStyle w:val="Compact"/>
            </w:pPr>
            <w:r>
              <w:t xml:space="preserve">Reducción de superficie de información para reconocimiento de atacantes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Endurecimiento de cookies internas:</w:t>
            </w:r>
            <w:r>
              <w:t xml:space="preserve"> </w:t>
            </w:r>
            <w:r>
              <w:rPr>
                <w:rStyle w:val="VerbatimChar"/>
              </w:rPr>
              <w:t xml:space="preserve">Secure=true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SameSite=Strict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HttpOnly=true</w:t>
            </w:r>
          </w:p>
        </w:tc>
        <w:tc>
          <w:tcPr/>
          <w:p>
            <w:pPr>
              <w:pStyle w:val="Compact"/>
            </w:pPr>
            <w:r>
              <w:t xml:space="preserve">Protección contra CSRF y secuestro de sesión</w:t>
            </w:r>
          </w:p>
        </w:tc>
      </w:tr>
    </w:tbl>
    <w:bookmarkEnd w:id="18"/>
    <w:bookmarkStart w:id="19" w:name="capa-de-autenticación-y-autorización"/>
    <w:p>
      <w:pPr>
        <w:pStyle w:val="Heading4"/>
      </w:pPr>
      <w:r>
        <w:t xml:space="preserve">Capa de autenticación y autorización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Mejora</w:t>
            </w:r>
          </w:p>
        </w:tc>
        <w:tc>
          <w:tcPr/>
          <w:p>
            <w:pPr>
              <w:pStyle w:val="Compact"/>
            </w:pPr>
            <w:r>
              <w:t xml:space="preserve">Beneficio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Rate limiting por IP en endpoints de autenticación (</w:t>
            </w:r>
            <w:r>
              <w:rPr>
                <w:rStyle w:val="VerbatimChar"/>
              </w:rPr>
              <w:t xml:space="preserve">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/auth/microsoft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/auth/google</w:t>
            </w:r>
            <w:r>
              <w:t xml:space="preserve">): máximo 10 intentos/minuto</w:t>
            </w:r>
          </w:p>
        </w:tc>
        <w:tc>
          <w:tcPr/>
          <w:p>
            <w:pPr>
              <w:pStyle w:val="Compact"/>
            </w:pPr>
            <w:r>
              <w:t xml:space="preserve">Defensa contra ataques de fuerza bruta y spray attacks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Activación de política de bloqueo de cuenta (Identity Lockout): 5 intentos fallidos → bloqueo automático de 15 minutos</w:t>
            </w:r>
          </w:p>
        </w:tc>
        <w:tc>
          <w:tcPr/>
          <w:p>
            <w:pPr>
              <w:pStyle w:val="Compact"/>
            </w:pPr>
            <w:r>
              <w:t xml:space="preserve">Defensa por cuenta contra fuerza bruta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Respuesta de tiempo constante en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Mitigación contra ataques de timing para enumerar usuarios válidos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Endpoints administrativos requieren explícitamente el rol correspondiente</w:t>
            </w:r>
          </w:p>
        </w:tc>
        <w:tc>
          <w:tcPr/>
          <w:p>
            <w:pPr>
              <w:pStyle w:val="Compact"/>
            </w:pPr>
            <w:r>
              <w:t xml:space="preserve">Aplicación estricta del principio de menor privilegio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Tokens de acceso y refresh diferenciados explícitamente (claim</w:t>
            </w:r>
            <w:r>
              <w:t xml:space="preserve"> </w:t>
            </w:r>
            <w:r>
              <w:rPr>
                <w:rStyle w:val="VerbatimChar"/>
              </w:rPr>
              <w:t xml:space="preserve">typ_use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Defensa en profundidad — un token de un tipo no puede usarse en endpoints destinados al otro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Validación completa de</w:t>
            </w:r>
            <w:r>
              <w:t xml:space="preserve"> </w:t>
            </w:r>
            <w:r>
              <w:rPr>
                <w:rStyle w:val="VerbatimChar"/>
              </w:rPr>
              <w:t xml:space="preserve">iss</w:t>
            </w:r>
            <w:r>
              <w:t xml:space="preserve"> </w:t>
            </w:r>
            <w:r>
              <w:t xml:space="preserve">(issuer) y</w:t>
            </w:r>
            <w:r>
              <w:t xml:space="preserve"> </w:t>
            </w:r>
            <w:r>
              <w:rPr>
                <w:rStyle w:val="VerbatimChar"/>
              </w:rPr>
              <w:t xml:space="preserve">aud</w:t>
            </w:r>
            <w:r>
              <w:t xml:space="preserve"> </w:t>
            </w:r>
            <w:r>
              <w:t xml:space="preserve">(audience) en tokens propios</w:t>
            </w:r>
          </w:p>
        </w:tc>
        <w:tc>
          <w:tcPr/>
          <w:p>
            <w:pPr>
              <w:pStyle w:val="Compact"/>
            </w:pPr>
            <w:r>
              <w:t xml:space="preserve">Preparación para escenarios multi-aplicación; defensa contra reutilización cruzada de tokens</w:t>
            </w:r>
          </w:p>
        </w:tc>
      </w:tr>
    </w:tbl>
    <w:bookmarkEnd w:id="19"/>
    <w:bookmarkStart w:id="20" w:name="capa-de-manejo-de-archivos-y-urls"/>
    <w:p>
      <w:pPr>
        <w:pStyle w:val="Heading4"/>
      </w:pPr>
      <w:r>
        <w:t xml:space="preserve">Capa de manejo de archivos y URLs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Mejora</w:t>
            </w:r>
          </w:p>
        </w:tc>
        <w:tc>
          <w:tcPr/>
          <w:p>
            <w:pPr>
              <w:pStyle w:val="Compact"/>
            </w:pPr>
            <w:r>
              <w:t xml:space="preserve">Beneficio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Validación de uploads con triple capa: whitelist de extensión + verificación de Content-Type + verificación de "magic bytes" (firma binaria del archivo)</w:t>
            </w:r>
          </w:p>
        </w:tc>
        <w:tc>
          <w:tcPr/>
          <w:p>
            <w:pPr>
              <w:pStyle w:val="Compact"/>
            </w:pPr>
            <w:r>
              <w:t xml:space="preserve">Defensa contra subida de archivos disfrazados (p.ej. ejecutables con extensión 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Limite máximo configurable para tiempo de expiración de URLs temporales (SAS)</w:t>
            </w:r>
          </w:p>
        </w:tc>
        <w:tc>
          <w:tcPr/>
          <w:p>
            <w:pPr>
              <w:pStyle w:val="Compact"/>
            </w:pPr>
            <w:r>
              <w:t xml:space="preserve">Defensa contra abuso de URLs de larga duración para exfiltración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Validación de dominio destino antes de redirecciones HTTP automáticas</w:t>
            </w:r>
          </w:p>
        </w:tc>
        <w:tc>
          <w:tcPr/>
          <w:p>
            <w:pPr>
              <w:pStyle w:val="Compact"/>
            </w:pPr>
            <w:r>
              <w:t xml:space="preserve">Defensa en profundidad contra open redirect (no era explotable en código actual; medida preventiva)</w:t>
            </w:r>
          </w:p>
        </w:tc>
      </w:tr>
    </w:tbl>
    <w:bookmarkEnd w:id="20"/>
    <w:bookmarkStart w:id="21" w:name="cleanup-operacional"/>
    <w:p>
      <w:pPr>
        <w:pStyle w:val="Heading4"/>
      </w:pPr>
      <w:r>
        <w:t xml:space="preserve">Cleanup operacional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Mejora</w:t>
            </w:r>
          </w:p>
        </w:tc>
        <w:tc>
          <w:tcPr/>
          <w:p>
            <w:pPr>
              <w:pStyle w:val="Compact"/>
            </w:pPr>
            <w:r>
              <w:t xml:space="preserve">Beneficio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Eliminación de endpoints y entidades demo del template de .NET no utilizadas</w:t>
            </w:r>
          </w:p>
        </w:tc>
        <w:tc>
          <w:tcPr/>
          <w:p>
            <w:pPr>
              <w:pStyle w:val="Compact"/>
            </w:pPr>
            <w:r>
              <w:t xml:space="preserve">Reducción de superficie de ataque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9a5a94ef461e542d882f10d04b268d3c209b027"/>
    <w:p>
      <w:pPr>
        <w:pStyle w:val="Heading3"/>
      </w:pPr>
      <w:r>
        <w:t xml:space="preserve">4.3 Findings de nivel informativo / bajo</w:t>
      </w:r>
    </w:p>
    <w:p>
      <w:pPr>
        <w:pStyle w:val="FirstParagraph"/>
      </w:pPr>
      <w:r>
        <w:t xml:space="preserve">Los siguientes puntos son</w:t>
      </w:r>
      <w:r>
        <w:t xml:space="preserve"> </w:t>
      </w:r>
      <w:r>
        <w:rPr>
          <w:b/>
          <w:bCs/>
        </w:rPr>
        <w:t xml:space="preserve">observaciones operativas</w:t>
      </w:r>
      <w:r>
        <w:t xml:space="preserve"> </w:t>
      </w:r>
      <w:r>
        <w:t xml:space="preserve">que no constituyen vulnerabilidades pero representan oportunidades de mejora continua: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Observación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INF-01</w:t>
            </w:r>
          </w:p>
        </w:tc>
        <w:tc>
          <w:tcPr/>
          <w:p>
            <w:pPr>
              <w:pStyle w:val="Compact"/>
            </w:pPr>
            <w:r>
              <w:t xml:space="preserve">Informativo</w:t>
            </w:r>
          </w:p>
        </w:tc>
        <w:tc>
          <w:tcPr/>
          <w:p>
            <w:pPr>
              <w:pStyle w:val="Compact"/>
            </w:pPr>
            <w:r>
              <w:t xml:space="preserve">Recomendación de rotación periódica de credenciales de servicios externos (Microsoft, Google, Azure Blob Storage)</w:t>
            </w:r>
          </w:p>
        </w:tc>
        <w:tc>
          <w:tcPr/>
          <w:p>
            <w:pPr>
              <w:pStyle w:val="Compact"/>
            </w:pPr>
            <w:r>
              <w:t xml:space="preserve">Pendiente (operación rutinaria)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INF-02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Habilitar Azure Defender for SQL para detección continua de patrones anómalos</w:t>
            </w:r>
          </w:p>
        </w:tc>
        <w:tc>
          <w:tcPr/>
          <w:p>
            <w:pPr>
              <w:pStyle w:val="Compact"/>
            </w:pPr>
            <w:r>
              <w:t xml:space="preserve">Recomendación operativa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INF-03</w:t>
            </w:r>
          </w:p>
        </w:tc>
        <w:tc>
          <w:tcPr/>
          <w:p>
            <w:pPr>
              <w:pStyle w:val="Compact"/>
            </w:pPr>
            <w:r>
              <w:t xml:space="preserve">Informativo</w:t>
            </w:r>
          </w:p>
        </w:tc>
        <w:tc>
          <w:tcPr/>
          <w:p>
            <w:pPr>
              <w:pStyle w:val="Compact"/>
            </w:pPr>
            <w:r>
              <w:t xml:space="preserve">Implementar export</w:t>
            </w:r>
            <w:r>
              <w:t xml:space="preserve"> </w:t>
            </w:r>
            <w:r>
              <w:rPr>
                <w:rStyle w:val="VerbatimChar"/>
              </w:rPr>
              <w:t xml:space="preserve">.bacpac</w:t>
            </w:r>
            <w:r>
              <w:t xml:space="preserve"> </w:t>
            </w:r>
            <w:r>
              <w:t xml:space="preserve">automatizado periódico de la base de datos como copia de seguridad lógica</w:t>
            </w:r>
          </w:p>
        </w:tc>
        <w:tc>
          <w:tcPr/>
          <w:p>
            <w:pPr>
              <w:pStyle w:val="Compact"/>
            </w:pPr>
            <w:r>
              <w:t xml:space="preserve">Recomendación operativa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INF-04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Considerar separación de containers en Azure Blob Storage por tipo de adjunto (mejora organización + permite políticas de retención distintas)</w:t>
            </w:r>
          </w:p>
        </w:tc>
        <w:tc>
          <w:tcPr/>
          <w:p>
            <w:pPr>
              <w:pStyle w:val="Compact"/>
            </w:pPr>
            <w:r>
              <w:t xml:space="preserve">Mejora futura sugerida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INF-05</w:t>
            </w:r>
          </w:p>
        </w:tc>
        <w:tc>
          <w:tcPr/>
          <w:p>
            <w:pPr>
              <w:pStyle w:val="Compact"/>
            </w:pPr>
            <w:r>
              <w:t xml:space="preserve">Informativo</w:t>
            </w:r>
          </w:p>
        </w:tc>
        <w:tc>
          <w:tcPr/>
          <w:p>
            <w:pPr>
              <w:pStyle w:val="Compact"/>
            </w:pPr>
            <w:r>
              <w:t xml:space="preserve">Considerar implementar matching por Object ID (</w:t>
            </w:r>
            <w:r>
              <w:rPr>
                <w:rStyle w:val="VerbatimChar"/>
              </w:rPr>
              <w:t xml:space="preserve">oid</w:t>
            </w:r>
            <w:r>
              <w:t xml:space="preserve">) de Microsoft Entra ID en lugar de email para identificación de usuarios federados</w:t>
            </w:r>
          </w:p>
        </w:tc>
        <w:tc>
          <w:tcPr/>
          <w:p>
            <w:pPr>
              <w:pStyle w:val="Compact"/>
            </w:pPr>
            <w:r>
              <w:t xml:space="preserve">Mejora futura sugerida (relevante si el tenant migra a multi-tenant)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INF-06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Aplicar rate limiting adicional a endpoints de procesamiento masivo (importación de planillas, sincronización masiva, generación bulk de PDFs)</w:t>
            </w:r>
          </w:p>
        </w:tc>
        <w:tc>
          <w:tcPr/>
          <w:p>
            <w:pPr>
              <w:pStyle w:val="Compact"/>
            </w:pPr>
            <w:r>
              <w:t xml:space="preserve">Mejora futura sugerida (defensa contra abuso operacional)</w:t>
            </w:r>
          </w:p>
        </w:tc>
      </w:tr>
    </w:tbl>
    <w:p>
      <w:pPr>
        <w:pStyle w:val="BodyText"/>
      </w:pPr>
      <w:r>
        <w:t xml:space="preserve">Ninguno de estos findings representa un riesgo activo y se documentan para seguimiento del equipo de operaciones.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684cc24b17dca0bea9b0163b4a245a17c2197d2"/>
    <w:p>
      <w:pPr>
        <w:pStyle w:val="Heading2"/>
      </w:pPr>
      <w:r>
        <w:t xml:space="preserve">5. Cobertura de OWASP API Security Top 10 (2023)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 OWASP</w:t>
            </w:r>
          </w:p>
        </w:tc>
        <w:tc>
          <w:tcPr/>
          <w:p>
            <w:pPr>
              <w:pStyle w:val="Compact"/>
            </w:pPr>
            <w:r>
              <w:t xml:space="preserve">Estado en Siprecom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API1: Broken Object Level Authorization (BOLA)</w:t>
            </w:r>
          </w:p>
        </w:tc>
        <w:tc>
          <w:tcPr/>
          <w:p>
            <w:pPr>
              <w:pStyle w:val="Compact"/>
            </w:pPr>
            <w:r>
              <w:t xml:space="preserve">✅ Mitigado vía mecanismo automático de aislamiento entre proyectos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API2: Broken Authentication</w:t>
            </w:r>
          </w:p>
        </w:tc>
        <w:tc>
          <w:tcPr/>
          <w:p>
            <w:pPr>
              <w:pStyle w:val="Compact"/>
            </w:pPr>
            <w:r>
              <w:t xml:space="preserve">✅ Microsoft Entra ID + JWT con validación completa, lockout activado, rate limiting aplicado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API3: Broken Object Property Level Authorization</w:t>
            </w:r>
          </w:p>
        </w:tc>
        <w:tc>
          <w:tcPr/>
          <w:p>
            <w:pPr>
              <w:pStyle w:val="Compact"/>
            </w:pPr>
            <w:r>
              <w:t xml:space="preserve">✅ Auditado, sin 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API4: Unrestricted Resource Consumption</w:t>
            </w:r>
          </w:p>
        </w:tc>
        <w:tc>
          <w:tcPr/>
          <w:p>
            <w:pPr>
              <w:pStyle w:val="Compact"/>
            </w:pPr>
            <w:r>
              <w:t xml:space="preserve">✅ Rate limiting en endpoints sensibles, límites de tamaño en uploads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API5: Broken Function Level Authorization</w:t>
            </w:r>
          </w:p>
        </w:tc>
        <w:tc>
          <w:tcPr/>
          <w:p>
            <w:pPr>
              <w:pStyle w:val="Compact"/>
            </w:pPr>
            <w:r>
              <w:t xml:space="preserve">✅ Roles aplicados explícitamente en cada endpoint administrativo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API6: Unrestricted Access to Sensitive Business Flows</w:t>
            </w:r>
          </w:p>
        </w:tc>
        <w:tc>
          <w:tcPr/>
          <w:p>
            <w:pPr>
              <w:pStyle w:val="Compact"/>
            </w:pPr>
            <w:r>
              <w:t xml:space="preserve">✅ Validación de estado en máquinas de estado críticas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API7: Server Side Request Forgery</w:t>
            </w:r>
          </w:p>
        </w:tc>
        <w:tc>
          <w:tcPr/>
          <w:p>
            <w:pPr>
              <w:pStyle w:val="Compact"/>
            </w:pPr>
            <w:r>
              <w:t xml:space="preserve">✅ Validación de URLs de redirección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API8: Security Misconfiguration</w:t>
            </w:r>
          </w:p>
        </w:tc>
        <w:tc>
          <w:tcPr/>
          <w:p>
            <w:pPr>
              <w:pStyle w:val="Compact"/>
            </w:pPr>
            <w:r>
              <w:t xml:space="preserve">✅ Headers HTTP completos, configuración Kestrel endurecida, CORS restrictivo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API9: Improper Inventory Management</w:t>
            </w:r>
          </w:p>
        </w:tc>
        <w:tc>
          <w:tcPr/>
          <w:p>
            <w:pPr>
              <w:pStyle w:val="Compact"/>
            </w:pPr>
            <w:r>
              <w:t xml:space="preserve">✅ Endpoints demo eliminados, Swagger condicionado a entorno de desarrollo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API10: Unsafe Consumption of APIs</w:t>
            </w:r>
          </w:p>
        </w:tc>
        <w:tc>
          <w:tcPr/>
          <w:p>
            <w:pPr>
              <w:pStyle w:val="Compact"/>
            </w:pPr>
            <w:r>
              <w:t xml:space="preserve">✅ Validación estricta de tokens externos (Microsoft Entra ID)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X0f409bd9c314fd5edd31aa475c8bfde10e6c9bf"/>
    <w:p>
      <w:pPr>
        <w:pStyle w:val="Heading2"/>
      </w:pPr>
      <w:r>
        <w:t xml:space="preserve">6. Próximos pasos recomendados</w:t>
      </w:r>
    </w:p>
    <w:bookmarkStart w:id="26" w:name="X5d265bc763d584b5ddd5160be697b605a60853b"/>
    <w:p>
      <w:pPr>
        <w:pStyle w:val="Heading3"/>
      </w:pPr>
      <w:r>
        <w:t xml:space="preserve">A corto plazo (antes del pase definitivo a producción)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Pentest externo formal</w:t>
      </w:r>
      <w:r>
        <w:t xml:space="preserve"> </w:t>
      </w:r>
      <w:r>
        <w:t xml:space="preserve">con un equipo independiente de seguridad. La auditoría interna no reemplaza esta evaluación.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Backup completo</w:t>
      </w:r>
      <w:r>
        <w:t xml:space="preserve"> </w:t>
      </w:r>
      <w:r>
        <w:t xml:space="preserve">de la base de datos (formato</w:t>
      </w:r>
      <w:r>
        <w:t xml:space="preserve"> </w:t>
      </w:r>
      <w:r>
        <w:rPr>
          <w:rStyle w:val="VerbatimChar"/>
        </w:rPr>
        <w:t xml:space="preserve">.bacpac</w:t>
      </w:r>
      <w:r>
        <w:t xml:space="preserve"> </w:t>
      </w:r>
      <w:r>
        <w:t xml:space="preserve">de Azure SQL) antes de iniciar el pentest externo.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Habilitar Azure Defender for SQL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Auditing</w:t>
      </w:r>
      <w:r>
        <w:t xml:space="preserve"> </w:t>
      </w:r>
      <w:r>
        <w:t xml:space="preserve">en la instancia de Azure SQL.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Verificar configuración HTTPS Only</w:t>
      </w:r>
      <w:r>
        <w:t xml:space="preserve"> </w:t>
      </w:r>
      <w:r>
        <w:t xml:space="preserve">en Azure App Service (</w:t>
      </w:r>
      <w:r>
        <w:rPr>
          <w:rStyle w:val="VerbatimChar"/>
        </w:rPr>
        <w:t xml:space="preserve">Settings → Configuration → General settings</w:t>
      </w:r>
      <w:r>
        <w:t xml:space="preserve">).</w:t>
      </w:r>
    </w:p>
    <w:bookmarkEnd w:id="26"/>
    <w:bookmarkStart w:id="27" w:name="a-mediano-plazo"/>
    <w:p>
      <w:pPr>
        <w:pStyle w:val="Heading3"/>
      </w:pPr>
      <w:r>
        <w:t xml:space="preserve">A mediano plazo</w:t>
      </w:r>
    </w:p>
    <w:p>
      <w:pPr>
        <w:pStyle w:val="Compact"/>
        <w:numPr>
          <w:ilvl w:val="0"/>
          <w:numId w:val="1003"/>
        </w:numPr>
      </w:pPr>
      <w:r>
        <w:t xml:space="preserve">Establecer rotación calendarizada de credenciales (90 días recomendado para client secrets de OAuth).</w:t>
      </w:r>
    </w:p>
    <w:p>
      <w:pPr>
        <w:pStyle w:val="Compact"/>
        <w:numPr>
          <w:ilvl w:val="0"/>
          <w:numId w:val="1003"/>
        </w:numPr>
      </w:pPr>
      <w:r>
        <w:t xml:space="preserve">Monitoreo continuo con alertas: logs de App Service + métricas de Application Insights.</w:t>
      </w:r>
    </w:p>
    <w:p>
      <w:pPr>
        <w:pStyle w:val="Compact"/>
        <w:numPr>
          <w:ilvl w:val="0"/>
          <w:numId w:val="1003"/>
        </w:numPr>
      </w:pPr>
      <w:r>
        <w:t xml:space="preserve">Implementar las observaciones INF-04, INF-05 e INF-06 según prioridad operativa.</w:t>
      </w:r>
    </w:p>
    <w:bookmarkEnd w:id="27"/>
    <w:bookmarkStart w:id="28" w:name="a-largo-plazo"/>
    <w:p>
      <w:pPr>
        <w:pStyle w:val="Heading3"/>
      </w:pPr>
      <w:r>
        <w:t xml:space="preserve">A largo plazo</w:t>
      </w:r>
    </w:p>
    <w:p>
      <w:pPr>
        <w:pStyle w:val="Compact"/>
        <w:numPr>
          <w:ilvl w:val="0"/>
          <w:numId w:val="1004"/>
        </w:numPr>
      </w:pPr>
      <w:r>
        <w:t xml:space="preserve">Penetration testing recurrente (anual o bianual).</w:t>
      </w:r>
    </w:p>
    <w:p>
      <w:pPr>
        <w:pStyle w:val="Compact"/>
        <w:numPr>
          <w:ilvl w:val="0"/>
          <w:numId w:val="1004"/>
        </w:numPr>
      </w:pPr>
      <w:r>
        <w:t xml:space="preserve">Revisión periódica del modelo de roles y asignaciones a proyectos.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b427a6c5e4f2f2011d8bc025d7f1bf644bc335e"/>
    <w:p>
      <w:pPr>
        <w:pStyle w:val="Heading2"/>
      </w:pPr>
      <w:r>
        <w:t xml:space="preserve">7. Conclusión</w:t>
      </w:r>
    </w:p>
    <w:p>
      <w:pPr>
        <w:pStyle w:val="FirstParagraph"/>
      </w:pPr>
      <w:r>
        <w:t xml:space="preserve">El sistema Siprecom presenta una</w:t>
      </w:r>
      <w:r>
        <w:t xml:space="preserve"> </w:t>
      </w:r>
      <w:r>
        <w:rPr>
          <w:b/>
          <w:bCs/>
        </w:rPr>
        <w:t xml:space="preserve">arquitectura sólida y un nivel de madurez de seguridad adecuado</w:t>
      </w:r>
      <w:r>
        <w:t xml:space="preserve"> </w:t>
      </w:r>
      <w:r>
        <w:t xml:space="preserve">para su puesta en producción. La auditoría interna permitió aplicar 14 mejoras de hardening alineadas con OWASP API Security Top 10, y validar que los componentes críticos del flujo de negocio (autenticación, autorización por proyecto, máquinas de estado) están implementados correctamente.</w:t>
      </w:r>
    </w:p>
    <w:p>
      <w:pPr>
        <w:pStyle w:val="BodyText"/>
      </w:pPr>
      <w:r>
        <w:t xml:space="preserve">Los findings restantes son de severidad</w:t>
      </w:r>
      <w:r>
        <w:t xml:space="preserve"> </w:t>
      </w:r>
      <w:r>
        <w:rPr>
          <w:b/>
          <w:bCs/>
        </w:rPr>
        <w:t xml:space="preserve">informativa/baja</w:t>
      </w:r>
      <w:r>
        <w:t xml:space="preserve"> </w:t>
      </w:r>
      <w:r>
        <w:t xml:space="preserve">y constituyen oportunidades de mejora continua, no condiciones bloqueantes.</w:t>
      </w:r>
    </w:p>
    <w:p>
      <w:pPr>
        <w:pStyle w:val="BodyText"/>
      </w:pPr>
      <w:r>
        <w:t xml:space="preserve">Se recomienda proceder con el</w:t>
      </w:r>
      <w:r>
        <w:t xml:space="preserve"> </w:t>
      </w:r>
      <w:r>
        <w:rPr>
          <w:b/>
          <w:bCs/>
        </w:rPr>
        <w:t xml:space="preserve">pentest externo formal</w:t>
      </w:r>
      <w:r>
        <w:t xml:space="preserve"> </w:t>
      </w:r>
      <w:r>
        <w:t xml:space="preserve">como siguiente paso antes del pase definitivo a producción, y mantener una práctica regular de auditorías de seguridad y rotación de credenciales.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preparado por el equipo técnico de Siprecom como evidencia del proceso de hardening previo al pentest externo. Para consultas técnicas sobre cualquier mejora aplicada, contactar al equipo de desarrollo.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aikido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aikido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2026-05-14T03:34:22Z</dcterms:created>
  <dcterms:modified xsi:type="dcterms:W3CDTF">2026-05-14T03:34:22Z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