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41F19" w:sz="12"/>
        </w:pBdr>
        <w:spacing w:after="0" w:before="1500"/>
      </w:pPr>
      <w:r>
        <w:rPr>
          <w:rFonts w:ascii="Cambria" w:cs="Cambria" w:eastAsia="Cambria" w:hAnsi="Cambria"/>
          <w:b/>
          <w:bCs/>
          <w:color w:val="241F19"/>
          <w:spacing w:val="140"/>
          <w:sz w:val="68"/>
          <w:szCs w:val="68"/>
        </w:rPr>
        <w:t xml:space="preserve">CLAVIRA</w:t>
      </w:r>
    </w:p>
    <w:p>
      <w:pPr>
        <w:spacing w:after="340" w:before="120" w:line="276"/>
      </w:pPr>
      <w:r>
        <w:rPr>
          <w:rFonts w:ascii="Cambria" w:cs="Cambria" w:eastAsia="Cambria" w:hAnsi="Cambria"/>
          <w:b w:val="false"/>
          <w:bCs w:val="false"/>
          <w:i/>
          <w:iCs/>
          <w:caps w:val="false"/>
          <w:color w:val="9A7233"/>
          <w:sz w:val="26"/>
          <w:szCs w:val="26"/>
        </w:rPr>
        <w:t xml:space="preserve">Fine Jewellery</w:t>
      </w:r>
    </w:p>
    <w:p>
      <w:pPr>
        <w:spacing w:after="4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9A7233"/>
          <w:spacing w:val="60"/>
          <w:sz w:val="16"/>
          <w:szCs w:val="16"/>
        </w:rPr>
        <w:t xml:space="preserve">Project Phase Plan</w:t>
      </w:r>
    </w:p>
    <w:p>
      <w:pPr>
        <w:spacing w:after="240" w:before="0" w:line="276"/>
      </w:pPr>
      <w:r>
        <w:rPr>
          <w:rFonts w:ascii="Cambria" w:cs="Cambria" w:eastAsia="Cambria" w:hAnsi="Cambria"/>
          <w:b/>
          <w:bCs/>
          <w:i w:val="false"/>
          <w:iCs w:val="false"/>
          <w:caps w:val="false"/>
          <w:color w:val="241F19"/>
          <w:sz w:val="34"/>
          <w:szCs w:val="34"/>
        </w:rPr>
        <w:t xml:space="preserve">All Phases — Discussed &amp; Tracked</w:t>
      </w:r>
    </w:p>
    <w:p>
      <w:pPr>
        <w:spacing w:after="460" w:before="0" w:line="276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6152"/>
          <w:sz w:val="22"/>
          <w:szCs w:val="22"/>
        </w:rPr>
        <w:t xml:space="preserve">A single reference for the complete build: every phase of the Clavira storefront, what it delivers, and which are complete to date.</w:t>
      </w:r>
    </w:p>
    <w:tbl>
      <w:tblPr>
        <w:tblW w:type="dxa" w:w="9360"/>
        <w:tblBorders>
          <w:top w:val="single" w:color="D9CEBA" w:sz="4"/>
          <w:left w:val="single" w:color="D9CEBA" w:sz="4"/>
          <w:bottom w:val="single" w:color="D9CEBA" w:sz="4"/>
          <w:right w:val="single" w:color="D9CEBA" w:sz="4"/>
          <w:insideH w:val="single" w:color="D9CEBA" w:sz="4"/>
          <w:insideV w:val="single" w:color="D9CEBA" w:sz="4"/>
        </w:tblBorders>
      </w:tblPr>
      <w:tblGrid>
        <w:gridCol w:w="2500"/>
        <w:gridCol w:w="6860"/>
      </w:tblGrid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20"/>
                <w:sz w:val="18"/>
                <w:szCs w:val="18"/>
              </w:rPr>
              <w:t xml:space="preserve">Prepared</w:t>
            </w:r>
          </w:p>
        </w:tc>
        <w:tc>
          <w:tcPr>
            <w:tcW w:type="dxa" w:w="686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16 July 2026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20"/>
                <w:sz w:val="18"/>
                <w:szCs w:val="18"/>
              </w:rPr>
              <w:t xml:space="preserve">Overall status</w:t>
            </w:r>
          </w:p>
        </w:tc>
        <w:tc>
          <w:tcPr>
            <w:tcW w:type="dxa" w:w="686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10 of 16 phases complete · 1 in progress · LIVE on clavira.in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20"/>
                <w:sz w:val="18"/>
                <w:szCs w:val="18"/>
              </w:rPr>
              <w:t xml:space="preserve">Stack</w:t>
            </w:r>
          </w:p>
        </w:tc>
        <w:tc>
          <w:tcPr>
            <w:tcW w:type="dxa" w:w="686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Laravel 12 · React 19 · Vite · MySQL · Tailwind 4 · Razorpay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20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86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C:\xampp2\htdocs\clavira  —  commit c5e216d (branch dev)</w:t>
            </w:r>
          </w:p>
        </w:tc>
      </w:tr>
    </w:tbl>
    <w:p>
      <w:r>
        <w:br w:type="page"/>
      </w:r>
    </w:p>
    <w:p>
      <w:pPr>
        <w:spacing w:after="160" w:before="0" w:line="276"/>
      </w:pPr>
      <w:r>
        <w:rPr>
          <w:rFonts w:ascii="Cambria" w:cs="Cambria" w:eastAsia="Cambria" w:hAnsi="Cambria"/>
          <w:b/>
          <w:bCs/>
          <w:i w:val="false"/>
          <w:iCs w:val="false"/>
          <w:caps w:val="false"/>
          <w:color w:val="241F19"/>
          <w:sz w:val="26"/>
          <w:szCs w:val="26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340"/>
      </w:pPr>
      <w:r>
        <w:rPr>
          <w:rFonts w:ascii="Cambria" w:cs="Cambria" w:eastAsia="Cambria" w:hAnsi="Cambria"/>
          <w:b/>
          <w:bCs/>
          <w:color w:val="9A7233"/>
          <w:sz w:val="30"/>
          <w:szCs w:val="30"/>
        </w:rPr>
        <w:t xml:space="preserve">Overview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Clavira is a luxury jewellery e-commerce storefront for the Indian market, engineered to expand to NRI customers without re-architecture. Groundwork (brochure and reference-site analysis, and the stack decision) is complete; the build itself is organised into 16 phases. Phases 1–6, 8, 9, 11 and 15 are done and verified — including a hardened invite-only admin-access system, a branded email pipeline, the engagement suite and the production deployment — and the site is LIVE on the real domain, clavira.in, with automatic deploys. Phase 7 (content) awaits client materials; Phase 10 (payments) awaits live Razorpay keys. Each phase is discussed and marked below.</w:t>
      </w:r>
    </w:p>
    <w:p>
      <w:pPr>
        <w:spacing w:after="60" w:before="60"/>
      </w:pPr>
    </w:p>
    <w:tbl>
      <w:tblPr>
        <w:tblW w:type="dxa" w:w="9360"/>
        <w:tblBorders>
          <w:top w:val="single" w:color="D9CEBA" w:sz="4"/>
          <w:left w:val="single" w:color="D9CEBA" w:sz="4"/>
          <w:bottom w:val="single" w:color="D9CEBA" w:sz="4"/>
          <w:right w:val="single" w:color="D9CEBA" w:sz="4"/>
          <w:insideH w:val="single" w:color="D9CEBA" w:sz="4"/>
          <w:insideV w:val="single" w:color="D9CEBA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4EE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34"/>
                <w:szCs w:val="34"/>
              </w:rPr>
              <w:t xml:space="preserve">93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/>
                <w:color w:val="6B6152"/>
                <w:spacing w:val="30"/>
                <w:sz w:val="14"/>
                <w:szCs w:val="14"/>
              </w:rPr>
              <w:t xml:space="preserve">Products</w:t>
            </w:r>
          </w:p>
        </w:tc>
        <w:tc>
          <w:tcPr>
            <w:tcW w:type="dxa" w:w="1872"/>
            <w:shd w:fill="F4EE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34"/>
                <w:szCs w:val="34"/>
              </w:rPr>
              <w:t xml:space="preserve">1,296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/>
                <w:color w:val="6B6152"/>
                <w:spacing w:val="30"/>
                <w:sz w:val="14"/>
                <w:szCs w:val="14"/>
              </w:rPr>
              <w:t xml:space="preserve">Variants</w:t>
            </w:r>
          </w:p>
        </w:tc>
        <w:tc>
          <w:tcPr>
            <w:tcW w:type="dxa" w:w="1872"/>
            <w:shd w:fill="F4EE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34"/>
                <w:szCs w:val="34"/>
              </w:rPr>
              <w:t xml:space="preserve">146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/>
                <w:color w:val="6B6152"/>
                <w:spacing w:val="30"/>
                <w:sz w:val="14"/>
                <w:szCs w:val="14"/>
              </w:rPr>
              <w:t xml:space="preserve">Curated images</w:t>
            </w:r>
          </w:p>
        </w:tc>
        <w:tc>
          <w:tcPr>
            <w:tcW w:type="dxa" w:w="1872"/>
            <w:shd w:fill="F4EE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34"/>
                <w:szCs w:val="34"/>
              </w:rPr>
              <w:t xml:space="preserve">10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/>
                <w:color w:val="6B6152"/>
                <w:spacing w:val="30"/>
                <w:sz w:val="14"/>
                <w:szCs w:val="14"/>
              </w:rPr>
              <w:t xml:space="preserve">Curated edits</w:t>
            </w:r>
          </w:p>
        </w:tc>
        <w:tc>
          <w:tcPr>
            <w:tcW w:type="dxa" w:w="1872"/>
            <w:shd w:fill="F4EE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34"/>
                <w:szCs w:val="34"/>
              </w:rPr>
              <w:t xml:space="preserve">73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/>
                <w:color w:val="6B6152"/>
                <w:spacing w:val="30"/>
                <w:sz w:val="14"/>
                <w:szCs w:val="14"/>
              </w:rPr>
              <w:t xml:space="preserve">IGI certificates</w:t>
            </w:r>
          </w:p>
        </w:tc>
      </w:tr>
    </w:tbl>
    <w:p>
      <w:pPr>
        <w:pStyle w:val="Heading1"/>
        <w:spacing w:after="150" w:before="340"/>
      </w:pPr>
      <w:r>
        <w:rPr>
          <w:rFonts w:ascii="Cambria" w:cs="Cambria" w:eastAsia="Cambria" w:hAnsi="Cambria"/>
          <w:b/>
          <w:bCs/>
          <w:color w:val="9A7233"/>
          <w:sz w:val="30"/>
          <w:szCs w:val="30"/>
        </w:rPr>
        <w:t xml:space="preserve">Phase Register — At a Glance</w:t>
      </w:r>
    </w:p>
    <w:p>
      <w:pPr>
        <w:spacing w:after="14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18"/>
          <w:szCs w:val="18"/>
        </w:rPr>
        <w:t xml:space="preserve">Status key: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5632F"/>
          <w:sz w:val="17"/>
          <w:szCs w:val="17"/>
        </w:rPr>
        <w:t xml:space="preserve">✓ Completed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B6152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3F6B6B"/>
          <w:sz w:val="17"/>
          <w:szCs w:val="17"/>
        </w:rPr>
        <w:t xml:space="preserve">In progress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B6152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9A7233"/>
          <w:sz w:val="17"/>
          <w:szCs w:val="17"/>
        </w:rPr>
        <w:t xml:space="preserve">Next up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B6152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6B6152"/>
          <w:sz w:val="17"/>
          <w:szCs w:val="17"/>
        </w:rPr>
        <w:t xml:space="preserve">Pending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B6152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7C2B30"/>
          <w:sz w:val="17"/>
          <w:szCs w:val="17"/>
        </w:rPr>
        <w:t xml:space="preserve">Needs your input</w:t>
      </w:r>
    </w:p>
    <w:tbl>
      <w:tblPr>
        <w:tblW w:type="dxa" w:w="9360"/>
        <w:tblBorders>
          <w:top w:val="single" w:color="D9CEBA" w:sz="4"/>
          <w:left w:val="single" w:color="D9CEBA" w:sz="4"/>
          <w:bottom w:val="single" w:color="D9CEBA" w:sz="4"/>
          <w:right w:val="single" w:color="D9CEBA" w:sz="4"/>
          <w:insideH w:val="single" w:color="D9CEBA" w:sz="4"/>
          <w:insideV w:val="single" w:color="D9CEBA" w:sz="4"/>
        </w:tblBorders>
      </w:tblPr>
      <w:tblGrid>
        <w:gridCol w:w="720"/>
        <w:gridCol w:w="5480"/>
        <w:gridCol w:w="3160"/>
      </w:tblGrid>
      <w:tr>
        <w:trPr>
          <w:tblHeader/>
        </w:trPr>
        <w:tc>
          <w:tcPr>
            <w:tcW w:type="dxa" w:w="720"/>
            <w:shd w:fill="9A723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480"/>
            <w:shd w:fill="9A723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Phase</w:t>
            </w:r>
          </w:p>
        </w:tc>
        <w:tc>
          <w:tcPr>
            <w:tcW w:type="dxa" w:w="3160"/>
            <w:shd w:fill="9A723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72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1</w:t>
            </w:r>
          </w:p>
        </w:tc>
        <w:tc>
          <w:tcPr>
            <w:tcW w:type="dxa" w:w="548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Foundation &amp; database</w:t>
            </w:r>
          </w:p>
        </w:tc>
        <w:tc>
          <w:tcPr>
            <w:tcW w:type="dxa" w:w="3160"/>
            <w:shd w:fill="E7EC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2</w:t>
            </w:r>
          </w:p>
        </w:tc>
        <w:tc>
          <w:tcPr>
            <w:tcW w:type="dxa" w:w="548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Catalog data</w:t>
            </w:r>
          </w:p>
        </w:tc>
        <w:tc>
          <w:tcPr>
            <w:tcW w:type="dxa" w:w="3160"/>
            <w:shd w:fill="E7EC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3</w:t>
            </w:r>
          </w:p>
        </w:tc>
        <w:tc>
          <w:tcPr>
            <w:tcW w:type="dxa" w:w="548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Storefront UI</w:t>
            </w:r>
          </w:p>
        </w:tc>
        <w:tc>
          <w:tcPr>
            <w:tcW w:type="dxa" w:w="3160"/>
            <w:shd w:fill="E7EC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4</w:t>
            </w:r>
          </w:p>
        </w:tc>
        <w:tc>
          <w:tcPr>
            <w:tcW w:type="dxa" w:w="548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Commerce core &amp; payments</w:t>
            </w:r>
          </w:p>
        </w:tc>
        <w:tc>
          <w:tcPr>
            <w:tcW w:type="dxa" w:w="3160"/>
            <w:shd w:fill="E7EC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5</w:t>
            </w:r>
          </w:p>
        </w:tc>
        <w:tc>
          <w:tcPr>
            <w:tcW w:type="dxa" w:w="548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Imagery (v1)</w:t>
            </w:r>
          </w:p>
        </w:tc>
        <w:tc>
          <w:tcPr>
            <w:tcW w:type="dxa" w:w="3160"/>
            <w:shd w:fill="E7EC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6</w:t>
            </w:r>
          </w:p>
        </w:tc>
        <w:tc>
          <w:tcPr>
            <w:tcW w:type="dxa" w:w="548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Version control &amp; deploy</w:t>
            </w:r>
          </w:p>
        </w:tc>
        <w:tc>
          <w:tcPr>
            <w:tcW w:type="dxa" w:w="3160"/>
            <w:shd w:fill="E7EC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7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Content &amp; brand finalisation</w:t>
            </w:r>
          </w:p>
        </w:tc>
        <w:tc>
          <w:tcPr>
            <w:tcW w:type="dxa" w:w="3160"/>
            <w:shd w:fill="E1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3F6B6B"/>
                <w:spacing w:val="20"/>
                <w:sz w:val="16"/>
                <w:szCs w:val="16"/>
              </w:rPr>
              <w:t xml:space="preserve">IN PROGRESS</w:t>
            </w:r>
          </w:p>
        </w:tc>
      </w:tr>
      <w:tr>
        <w:tc>
          <w:tcPr>
            <w:tcW w:type="dxa" w:w="72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8</w:t>
            </w:r>
          </w:p>
        </w:tc>
        <w:tc>
          <w:tcPr>
            <w:tcW w:type="dxa" w:w="548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Admin panel + access control + email</w:t>
            </w:r>
          </w:p>
        </w:tc>
        <w:tc>
          <w:tcPr>
            <w:tcW w:type="dxa" w:w="3160"/>
            <w:shd w:fill="E7EC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9</w:t>
            </w:r>
          </w:p>
        </w:tc>
        <w:tc>
          <w:tcPr>
            <w:tcW w:type="dxa" w:w="5480"/>
            <w:shd w:fill="F1F3E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Customer accounts &amp; wishlist</w:t>
            </w:r>
          </w:p>
        </w:tc>
        <w:tc>
          <w:tcPr>
            <w:tcW w:type="dxa" w:w="3160"/>
            <w:shd w:fill="E7EC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10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Payments go-live</w:t>
            </w:r>
          </w:p>
        </w:tc>
        <w:tc>
          <w:tcPr>
            <w:tcW w:type="dxa" w:w="3160"/>
            <w:shd w:fill="F4E5E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7C2B30"/>
                <w:spacing w:val="20"/>
                <w:sz w:val="16"/>
                <w:szCs w:val="16"/>
              </w:rPr>
              <w:t xml:space="preserve">NEEDS YOUR INPUT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11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Engagement &amp; conversion</w:t>
            </w:r>
          </w:p>
        </w:tc>
        <w:tc>
          <w:tcPr>
            <w:tcW w:type="dxa" w:w="3160"/>
            <w:shd w:fill="F5ECD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12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SEO, performance &amp; PWA</w:t>
            </w:r>
          </w:p>
        </w:tc>
        <w:tc>
          <w:tcPr>
            <w:tcW w:type="dxa" w:w="3160"/>
            <w:shd w:fill="EDEB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B6152"/>
                <w:spacing w:val="20"/>
                <w:sz w:val="16"/>
                <w:szCs w:val="16"/>
              </w:rPr>
              <w:t xml:space="preserve">PENDING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13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NRI activation</w:t>
            </w:r>
          </w:p>
        </w:tc>
        <w:tc>
          <w:tcPr>
            <w:tcW w:type="dxa" w:w="3160"/>
            <w:shd w:fill="EDEB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B6152"/>
                <w:spacing w:val="20"/>
                <w:sz w:val="16"/>
                <w:szCs w:val="16"/>
              </w:rPr>
              <w:t xml:space="preserve">PENDING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14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QA, accessibility &amp; security</w:t>
            </w:r>
          </w:p>
        </w:tc>
        <w:tc>
          <w:tcPr>
            <w:tcW w:type="dxa" w:w="3160"/>
            <w:shd w:fill="EDEB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B6152"/>
                <w:spacing w:val="20"/>
                <w:sz w:val="16"/>
                <w:szCs w:val="16"/>
              </w:rPr>
              <w:t xml:space="preserve">PENDING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15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Deploy to Hostinger</w:t>
            </w:r>
          </w:p>
        </w:tc>
        <w:tc>
          <w:tcPr>
            <w:tcW w:type="dxa" w:w="3160"/>
            <w:shd w:fill="E1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9A7233"/>
                <w:sz w:val="20"/>
                <w:szCs w:val="20"/>
              </w:rPr>
              <w:t xml:space="preserve">16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41F19"/>
                <w:sz w:val="19"/>
                <w:szCs w:val="19"/>
              </w:rPr>
              <w:t xml:space="preserve">Post-launch</w:t>
            </w:r>
          </w:p>
        </w:tc>
        <w:tc>
          <w:tcPr>
            <w:tcW w:type="dxa" w:w="3160"/>
            <w:shd w:fill="EDEB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B6152"/>
                <w:spacing w:val="20"/>
                <w:sz w:val="16"/>
                <w:szCs w:val="16"/>
              </w:rPr>
              <w:t xml:space="preserve">PENDING</w:t>
            </w:r>
          </w:p>
        </w:tc>
      </w:tr>
    </w:tbl>
    <w:p>
      <w:pPr>
        <w:spacing w:after="120" w:before="160" w:line="276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9A7233"/>
          <w:sz w:val="20"/>
          <w:szCs w:val="20"/>
        </w:rPr>
        <w:t xml:space="preserve">10 of 16 phases complete · 1 in progress.</w:t>
      </w:r>
    </w:p>
    <w:p>
      <w:r>
        <w:br w:type="page"/>
      </w:r>
    </w:p>
    <w:p>
      <w:pPr>
        <w:pStyle w:val="Heading1"/>
        <w:spacing w:after="150" w:before="340"/>
      </w:pPr>
      <w:r>
        <w:rPr>
          <w:rFonts w:ascii="Cambria" w:cs="Cambria" w:eastAsia="Cambria" w:hAnsi="Cambria"/>
          <w:b/>
          <w:bCs/>
          <w:color w:val="9A7233"/>
          <w:sz w:val="30"/>
          <w:szCs w:val="30"/>
        </w:rPr>
        <w:t xml:space="preserve">Phase-by-Phase Detail</w:t>
      </w:r>
    </w:p>
    <w:p>
      <w:pPr>
        <w:spacing w:after="40" w:before="0" w:line="276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6152"/>
          <w:sz w:val="19"/>
          <w:szCs w:val="19"/>
        </w:rPr>
        <w:t xml:space="preserve">Groundwork (complete): analysed the 61-page brochure and five reference sites (Angara, Hastmilap, Pure Lab Diamonds, IBJA, GJC); selected and confirmed the stack for the existing Hostinger hosting.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1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Foundation &amp; database</w:t>
            </w:r>
          </w:p>
        </w:tc>
        <w:tc>
          <w:tcPr>
            <w:tcW w:type="dxa" w:w="2820"/>
            <w:shd w:fill="E7ECD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Established the Laravel 12 + React 19 (Vite) + MySQL + Tailwind 4 stack and a 13-table schema across catalog, commerce and content. The data model is NRI-ready from day one.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13 tables grouped as catalog, commerce and content (incl. certificates and gold rates).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Prices stored in INR with a currency column; international address schema (ISO country + phone code) so NRI expansion needs no re-architecture.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Single-page-app wiring: Laravel serves the shell, React Router owns all non-API routes.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2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Catalog data</w:t>
            </w:r>
          </w:p>
        </w:tc>
        <w:tc>
          <w:tcPr>
            <w:tcW w:type="dxa" w:w="2820"/>
            <w:shd w:fill="E7ECD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Seeded the full catalog from the brochure so the store is populated with real content rather than placeholders.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7 categories and 10 curated “Edits” (Bridal, Solitaire, Heritage Kundan, NRI Fusion, Mangalsutra, and more).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~93 products with real brochure copy; 1,296 configurator variants (metal × purity × diamond type, with price deltas).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73 IGI certificates powering the certificate-verification feature.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3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Storefront UI</w:t>
            </w:r>
          </w:p>
        </w:tc>
        <w:tc>
          <w:tcPr>
            <w:tcW w:type="dxa" w:w="2820"/>
            <w:shd w:fill="E7ECD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Built every customer-facing page in an original luxury design system — charcoal / ivory / champagne-gold, serif display type, cinematic motion.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Home, category listing, product detail with the Angara-style configurator (metal, purity, diamond type, ring size) and live price recalculation.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Collections &amp; per-Edit pages, Craftsmanship, NRI, Verify Certificate, Cart, Checkout, Order Success, Search, Contact.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Responsive sweep 360–2560px (incl. 768 / 1024) — zero horizontal overflow on any page; no console errors.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4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Commerce core &amp; payments</w:t>
            </w:r>
          </w:p>
        </w:tc>
        <w:tc>
          <w:tcPr>
            <w:tcW w:type="dxa" w:w="2820"/>
            <w:shd w:fill="E7ECD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Delivered the full purchasing flow with a payment architecture built for security and future flexibility.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Cart, checkout and orders with 3% GST and human-readable order numbers (CLV-2026-000001).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Razorpay behind a gateway abstraction, with a clearly-labelled demo mode until live keys exist; Stripe/PayPal can be added for NRI without touching checkout.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Card / UPI data never touches the server; signatures verified server-side (timing-safe HMAC); signed webhook endpoint.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Verified end-to-end: configurator repricing → cart + GST → checkout → order confirmation.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5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Imagery (v1)</w:t>
            </w:r>
          </w:p>
        </w:tc>
        <w:tc>
          <w:tcPr>
            <w:tcW w:type="dxa" w:w="2820"/>
            <w:shd w:fill="E7ECD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Replaced brochure-derived images with a hand-curated set of clean product photography.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Reviewed 447 source images; excluded everything carrying a competitor watermark, phone number or social-media UI.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146 clean, unbranded shots categorised, optimised and set as each product’s primary image (brochure images kept as gallery alternates).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Placeholder quality — original Clavira photography is still required before launch. Competitor watermarks are never removed.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6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Version control &amp; deploy</w:t>
            </w:r>
          </w:p>
        </w:tc>
        <w:tc>
          <w:tcPr>
            <w:tcW w:type="dxa" w:w="2820"/>
            <w:shd w:fill="E7ECD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Brought the project under Git and onto a live server.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GitHub remote with dev (feature work) and main (deploy) branches; secrets excluded, vendor/build committed for the Composer-free host.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Live via cron auto-pull deploy scripts — now serving the real domain clavira.in. Build log and roadmap documented under docs/.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7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Content &amp; brand finalisation</w:t>
            </w:r>
          </w:p>
        </w:tc>
        <w:tc>
          <w:tcPr>
            <w:tcW w:type="dxa" w:w="2820"/>
            <w:shd w:fill="E1ECE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3F6B6B"/>
                <w:spacing w:val="20"/>
                <w:sz w:val="16"/>
                <w:szCs w:val="16"/>
              </w:rPr>
              <w:t xml:space="preserve">IN PROGRESS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Turning the working store into a launch-ready one. The parts that need no client input are done; the rest awaits materials.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Done: policy pages (shipping, returns, exchange, privacy, terms); real Clavira logo and favicon.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Needs you: original product photography to replace the reference placeholders.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Needs you: final product list, SKUs and pricing sign-off; legal review of the policy copy.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8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Admin panel, access control &amp; email</w:t>
            </w:r>
          </w:p>
        </w:tc>
        <w:tc>
          <w:tcPr>
            <w:tcW w:type="dxa" w:w="2820"/>
            <w:shd w:fill="E7ECD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A secure back-office for staff, with tightly controlled access and a working email pipeline.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Dashboard, product/variant/image management, orders, enquiries, gold-rate publishing, certificate management.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Invite-only admin access: an owner allowlist plus a hardened gate (DB flag AND company-domain email); no public path to admin; single-use, expiring set-password invites. Threat-tested.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Branded, failure-resilient email pipeline (admin invites today; ready for order confirmations and password resets). Verify SMTP with php artisan clavira:mail-test.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9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Customer accounts &amp; wishlist</w:t>
            </w:r>
          </w:p>
        </w:tc>
        <w:tc>
          <w:tcPr>
            <w:tcW w:type="dxa" w:w="2820"/>
            <w:shd w:fill="E7ECD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The registered-customer experience.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Register / login / logout, order history, saved addresses (international-ready).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Wishlist works for guests and merges into the account on login; heart control on product cards and the product page.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10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Payments go-live</w:t>
            </w:r>
          </w:p>
        </w:tc>
        <w:tc>
          <w:tcPr>
            <w:tcW w:type="dxa" w:w="2820"/>
            <w:shd w:fill="F4E5E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7C2B30"/>
                <w:spacing w:val="20"/>
                <w:sz w:val="16"/>
                <w:szCs w:val="16"/>
              </w:rPr>
              <w:t xml:space="preserve">NEEDS YOUR INPUT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Switching real payments on. Waiting on live Razorpay credentials.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Live Razorpay keys added on the server; enable the live flag.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Configure the webhook URL and secret in the Razorpay dashboard; run live UPI / card / netbanking tests.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Refund / cancellation flow; order-confirmation email/SMS.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11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Engagement &amp; conversion</w:t>
            </w:r>
          </w:p>
        </w:tc>
        <w:tc>
          <w:tcPr>
            <w:tcW w:type="dxa" w:w="2820"/>
            <w:shd w:fill="F5ECD5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Features that turn browsers into buyers — especially valuable for high-consideration jewellery. Delivered and verified end-to-end.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Floating WhatsApp enquiry button; consultation / appointment booking (virtual, atelier, bridal &amp; bespoke).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Moderated product reviews &amp; ratings live on product pages; newsletter capture in the footer.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Admin moderation pages for reviews and consultations; bespoke consultations carry made-to-order requests.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12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SEO, performance &amp; PWA</w:t>
            </w:r>
          </w:p>
        </w:tc>
        <w:tc>
          <w:tcPr>
            <w:tcW w:type="dxa" w:w="2820"/>
            <w:shd w:fill="EDEBE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B6152"/>
                <w:spacing w:val="20"/>
                <w:sz w:val="16"/>
                <w:szCs w:val="16"/>
              </w:rPr>
              <w:t xml:space="preserve">PENDING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Discoverability, speed and an app-like experience.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Server-rendered meta tags, sitemap and Product structured data.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Image tuning (srcset / WebP, lazy-loading) and a Lighthouse pass; installable PWA with offline shell.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Analytics (GA4 / Meta Pixel) with a consent banner.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13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NRI activation</w:t>
            </w:r>
          </w:p>
        </w:tc>
        <w:tc>
          <w:tcPr>
            <w:tcW w:type="dxa" w:w="2820"/>
            <w:shd w:fill="EDEBE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B6152"/>
                <w:spacing w:val="20"/>
                <w:sz w:val="16"/>
                <w:szCs w:val="16"/>
              </w:rPr>
              <w:t xml:space="preserve">PENDING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Switching on the non-resident-Indian experience. The architecture is already in place from Phase 1.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Multi-currency display (USD / GBP / AED and more).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International shipping rates plus duties / customs messaging; country-based tax handling.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14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QA, accessibility &amp; security</w:t>
            </w:r>
          </w:p>
        </w:tc>
        <w:tc>
          <w:tcPr>
            <w:tcW w:type="dxa" w:w="2820"/>
            <w:shd w:fill="EDEBE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B6152"/>
                <w:spacing w:val="20"/>
                <w:sz w:val="16"/>
                <w:szCs w:val="16"/>
              </w:rPr>
              <w:t xml:space="preserve">PENDING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Hardening the store before it goes live.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Full cross-browser and responsive QA; accessibility pass (WCAG AA).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Security review (input validation, rate limiting, headers, payment edge cases).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Automated tests for cart, checkout and certificate verification.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15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Deploy to Hostinger</w:t>
            </w:r>
          </w:p>
        </w:tc>
        <w:tc>
          <w:tcPr>
            <w:tcW w:type="dxa" w:w="2820"/>
            <w:shd w:fill="E1ECE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55632F"/>
                <w:spacing w:val="20"/>
                <w:sz w:val="16"/>
                <w:szCs w:val="16"/>
              </w:rPr>
              <w:t xml:space="preserve">✓  COMPLETED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Published. The store is live on the real domain clavira.in with SSL and automatic deploys.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GitHub remote, vendor/build shipped via git, dev → main → cron auto-pull pipeline (deploys within 5 minutes).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Live on clavira.in with SSL (incl. www); sessions configured for the domain; owner admin logins provisioned &amp; verified; legacy default admin removed. Remaining: Razorpay keys (Phase 10) and SMTP mailbox credentials.</w:t>
      </w:r>
    </w:p>
    <w:p>
      <w:pPr>
        <w:keepNext/>
        <w:spacing w:after="100" w:before="260"/>
      </w:pPr>
    </w:p>
    <w:tbl>
      <w:tblPr>
        <w:tblW w:type="dxa" w:w="9360"/>
        <w:tblBorders>
          <w:top w:val="none" w:color="FFFFFF" w:sz="0"/>
          <w:left w:val="none" w:color="FFFFFF" w:sz="0"/>
          <w:bottom w:val="single" w:color="D9CEBA" w:sz="6"/>
          <w:right w:val="none" w:color="FFFFFF" w:sz="0"/>
          <w:insideH w:val="none" w:color="FFFFFF" w:sz="0"/>
          <w:insideV w:val="none" w:color="FFFFFF" w:sz="0"/>
        </w:tblBorders>
      </w:tblPr>
      <w:tblGrid>
        <w:gridCol w:w="6540"/>
        <w:gridCol w:w="2820"/>
      </w:tblGrid>
      <w:tr>
        <w:tc>
          <w:tcPr>
            <w:tcW w:type="dxa" w:w="6540"/>
            <w:tcMar>
              <w:top w:type="dxa" w:w="60"/>
              <w:left w:type="dxa" w:w="0"/>
              <w:bottom w:type="dxa" w:w="60"/>
              <w:right w:type="dxa" w:w="120"/>
            </w:tcMar>
            <w:vAlign w:val="center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A7233"/>
                <w:spacing w:val="50"/>
                <w:sz w:val="15"/>
                <w:szCs w:val="15"/>
              </w:rPr>
              <w:t xml:space="preserve">PHASE 16</w:t>
            </w:r>
          </w:p>
          <w:p>
            <w:pPr>
              <w:spacing w:after="0" w:before="0" w:line="276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aps w:val="false"/>
                <w:color w:val="241F19"/>
                <w:sz w:val="24"/>
                <w:szCs w:val="24"/>
              </w:rPr>
              <w:t xml:space="preserve">Post-launch</w:t>
            </w:r>
          </w:p>
        </w:tc>
        <w:tc>
          <w:tcPr>
            <w:tcW w:type="dxa" w:w="2820"/>
            <w:shd w:fill="EDEBE4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B6152"/>
                <w:spacing w:val="20"/>
                <w:sz w:val="16"/>
                <w:szCs w:val="16"/>
              </w:rPr>
              <w:t xml:space="preserve">PENDING</w:t>
            </w:r>
          </w:p>
        </w:tc>
      </w:tr>
    </w:tbl>
    <w:p>
      <w:pPr>
        <w:spacing w:after="80" w:before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Keeping the store healthy and improving after launch.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Uptime and error monitoring; database backups.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Automated IBJA gold-rate fetch; ongoing iteration driven by analytics and new collections.</w:t>
      </w:r>
    </w:p>
    <w:p>
      <w:r>
        <w:br w:type="page"/>
      </w:r>
    </w:p>
    <w:p>
      <w:pPr>
        <w:pStyle w:val="Heading1"/>
        <w:spacing w:after="150" w:before="340"/>
      </w:pPr>
      <w:r>
        <w:rPr>
          <w:rFonts w:ascii="Cambria" w:cs="Cambria" w:eastAsia="Cambria" w:hAnsi="Cambria"/>
          <w:b/>
          <w:bCs/>
          <w:color w:val="9A7233"/>
          <w:sz w:val="30"/>
          <w:szCs w:val="30"/>
        </w:rPr>
        <w:t xml:space="preserve">What We Need From You</w:t>
      </w:r>
    </w:p>
    <w:p>
      <w:pPr>
        <w:spacing w:after="15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41F19"/>
          <w:sz w:val="21"/>
          <w:szCs w:val="21"/>
        </w:rPr>
        <w:t xml:space="preserve">Three inputs unblock every gated phase. In the meantime, Phases 12 (SEO &amp; PWA), 13 (NRI) and 14 (QA &amp; accessibility) can all proceed.</w:t>
      </w:r>
    </w:p>
    <w:tbl>
      <w:tblPr>
        <w:tblW w:type="dxa" w:w="9360"/>
        <w:tblBorders>
          <w:top w:val="single" w:color="D9CEBA" w:sz="4"/>
          <w:left w:val="single" w:color="D9CEBA" w:sz="4"/>
          <w:bottom w:val="single" w:color="D9CEBA" w:sz="4"/>
          <w:right w:val="single" w:color="D9CEBA" w:sz="4"/>
          <w:insideH w:val="single" w:color="D9CEBA" w:sz="4"/>
          <w:insideV w:val="single" w:color="D9CEBA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9A723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Input</w:t>
            </w:r>
          </w:p>
        </w:tc>
        <w:tc>
          <w:tcPr>
            <w:tcW w:type="dxa" w:w="3120"/>
            <w:shd w:fill="9A723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Detail</w:t>
            </w:r>
          </w:p>
        </w:tc>
        <w:tc>
          <w:tcPr>
            <w:tcW w:type="dxa" w:w="3120"/>
            <w:shd w:fill="9A723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Unlocks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8"/>
                <w:szCs w:val="18"/>
              </w:rPr>
              <w:t xml:space="preserve">Original photography &amp; final catalog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6152"/>
                <w:sz w:val="18"/>
                <w:szCs w:val="18"/>
              </w:rPr>
              <w:t xml:space="preserve">Real Clavira product photos, plus confirmed prices &amp; SKUs.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9A7233"/>
                <w:sz w:val="18"/>
                <w:szCs w:val="18"/>
              </w:rPr>
              <w:t xml:space="preserve">Launch quality (Phase 7)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8"/>
                <w:szCs w:val="18"/>
              </w:rPr>
              <w:t xml:space="preserve">Live Razorpay keys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6152"/>
                <w:sz w:val="18"/>
                <w:szCs w:val="18"/>
              </w:rPr>
              <w:t xml:space="preserve">Key ID, secret &amp; webhook secret — added on the server, never shared in chat.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9A7233"/>
                <w:sz w:val="18"/>
                <w:szCs w:val="18"/>
              </w:rPr>
              <w:t xml:space="preserve">Real payments (Phase 10)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41F19"/>
                <w:sz w:val="18"/>
                <w:szCs w:val="18"/>
              </w:rPr>
              <w:t xml:space="preserve">SMTP mailbox credentials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6152"/>
                <w:sz w:val="18"/>
                <w:szCs w:val="18"/>
              </w:rPr>
              <w:t xml:space="preserve">A mailbox (e.g. noreply@clavira.in) created in hPanel; credentials set in the server .env — never shared in chat.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9A7233"/>
                <w:sz w:val="18"/>
                <w:szCs w:val="18"/>
              </w:rPr>
              <w:t xml:space="preserve">Email delivery (invites, login alerts, order emails)</w:t>
            </w:r>
          </w:p>
        </w:tc>
      </w:tr>
    </w:tbl>
    <w:p>
      <w:pPr>
        <w:spacing w:after="120" w:before="200" w:line="276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41F19"/>
          <w:sz w:val="19"/>
          <w:szCs w:val="19"/>
        </w:rPr>
        <w:t xml:space="preserve">Suggested order: Phase 12 (SEO &amp; PWA) → Phase 14 (QA &amp; accessibility) → Phase 13 (NRI) can start now; Phases 7 and 10 complete as inputs arrive.</w:t>
      </w:r>
    </w:p>
    <w:sectPr>
      <w:headerReference w:type="default" r:id="rId7"/>
      <w:footerReference w:type="default" r:id="rId8"/>
      <w:pgSz w:w="12240" w:h="15840" w:orient="portrait"/>
      <w:pgMar w:top="11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EBA" w:sz="4"/>
      </w:pBdr>
      <w:jc w:val="center"/>
    </w:pPr>
    <w:r>
      <w:rPr>
        <w:rFonts w:ascii="Calibri" w:cs="Calibri" w:eastAsia="Calibri" w:hAnsi="Calibri"/>
        <w:color w:val="6B6152"/>
        <w:sz w:val="15"/>
        <w:szCs w:val="15"/>
      </w:rPr>
      <w:t xml:space="preserve">Clavira Fine Jewellery  ·  Confidential  ·  Page </w:t>
    </w:r>
    <w:r>
      <w:rPr>
        <w:rFonts w:ascii="Calibri" w:cs="Calibri" w:eastAsia="Calibri" w:hAnsi="Calibri"/>
        <w:color w:val="6B6152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6152"/>
        <w:sz w:val="15"/>
        <w:szCs w:val="15"/>
      </w:rPr>
      <w:t xml:space="preserve"> of </w:t>
    </w:r>
    <w:r>
      <w:rPr>
        <w:rFonts w:ascii="Calibri" w:cs="Calibri" w:eastAsia="Calibri" w:hAnsi="Calibri"/>
        <w:color w:val="6B6152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EBA" w:sz="4"/>
      </w:pBdr>
      <w:jc w:val="right"/>
    </w:pPr>
    <w:r>
      <w:rPr>
        <w:rFonts w:ascii="Cambria" w:cs="Cambria" w:eastAsia="Cambria" w:hAnsi="Cambria"/>
        <w:b/>
        <w:bCs/>
        <w:color w:val="9A7233"/>
        <w:spacing w:val="60"/>
        <w:sz w:val="16"/>
        <w:szCs w:val="16"/>
      </w:rPr>
      <w:t xml:space="preserve">CLAVIRA</w:t>
    </w:r>
    <w:r>
      <w:rPr>
        <w:rFonts w:ascii="Calibri" w:cs="Calibri" w:eastAsia="Calibri" w:hAnsi="Calibri"/>
        <w:color w:val="6B6152"/>
        <w:sz w:val="15"/>
        <w:szCs w:val="15"/>
      </w:rPr>
      <w:t xml:space="preserve">   Project Phase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9A7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1F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Clavira — Project Phase Plan</dc:title>
  <dc:creator>Clavira</dc:creator>
  <cp:lastModifiedBy>Un-named</cp:lastModifiedBy>
  <cp:revision>1</cp:revision>
  <dcterms:created xsi:type="dcterms:W3CDTF">2026-07-15T13:41:47.997Z</dcterms:created>
  <dcterms:modified xsi:type="dcterms:W3CDTF">2026-07-15T13:41:48.000Z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