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DESCRIPTOR DE CARGO</w:t>
      </w:r>
    </w:p>
    <w:p>
      <w:pPr>
        <w:spacing w:after="60"/>
        <w:jc w:val="center"/>
      </w:pPr>
      <w:r>
        <w:rPr>
          <w:rFonts w:ascii="Arial" w:cs="Arial" w:eastAsia="Arial" w:hAnsi="Arial"/>
          <w:color w:val="2E75B6"/>
          <w:sz w:val="28"/>
          <w:szCs w:val="28"/>
        </w:rPr>
        <w:t xml:space="preserve">Editora y Diseñadora</w:t>
      </w:r>
    </w:p>
    <w:p>
      <w:pPr>
        <w:spacing w:after="60"/>
        <w:jc w:val="center"/>
      </w:pPr>
      <w:r>
        <w:rPr>
          <w:rFonts w:ascii="Arial" w:cs="Arial" w:eastAsia="Arial" w:hAnsi="Arial"/>
          <w:b/>
          <w:bCs/>
          <w:sz w:val="26"/>
          <w:szCs w:val="26"/>
        </w:rPr>
        <w:t xml:space="preserve">Sara Castaño</w:t>
      </w:r>
    </w:p>
    <w:p>
      <w:pPr>
        <w:spacing w:after="240"/>
        <w:jc w:val="center"/>
      </w:pPr>
      <w:r>
        <w:rPr>
          <w:rFonts w:ascii="Arial" w:cs="Arial" w:eastAsia="Arial" w:hAnsi="Arial"/>
          <w:color w:val="666666"/>
          <w:sz w:val="22"/>
          <w:szCs w:val="22"/>
        </w:rPr>
        <w:t xml:space="preserve">Departamento de Marketing — Mangone Law Firm, LLC</w:t>
      </w:r>
    </w:p>
    <w:p>
      <w:pPr>
        <w:pBdr>
          <w:bottom w:val="single" w:color="2E75B6" w:sz="12" w:space="1"/>
        </w:pBdr>
        <w:spacing w:after="160"/>
      </w:pPr>
      <w:r>
        <w:t xml:space="preserve"/>
      </w:r>
    </w:p>
    <w:p>
      <w:pPr>
        <w:pStyle w:val="Heading1"/>
      </w:pPr>
      <w:r>
        <w:rPr>
          <w:rFonts w:ascii="Arial" w:cs="Arial" w:eastAsia="Arial" w:hAnsi="Arial"/>
          <w:b/>
          <w:bCs/>
          <w:sz w:val="32"/>
          <w:szCs w:val="32"/>
        </w:rPr>
        <w:t xml:space="preserve">Propósito del Cargo</w:t>
      </w:r>
    </w:p>
    <w:p>
      <w:pPr>
        <w:spacing w:after="80"/>
      </w:pPr>
      <w:r>
        <w:rPr>
          <w:rFonts w:ascii="Arial" w:cs="Arial" w:eastAsia="Arial" w:hAnsi="Arial"/>
          <w:sz w:val="24"/>
          <w:szCs w:val="24"/>
        </w:rPr>
        <w:t xml:space="preserve">La Editora y Diseñadora es responsable de transformar el material audiovisual grabado por la Creadora de Contenido en piezas finales de alta calidad para las plataformas digitales de la firma, así como de producir contenido gráfico estático para redes sociales y otros canales de comunicación. Su rol garantiza que todo el contenido publicado sea visualmente atractivo, técnicamente impecable y alineado con la identidad de marca de la firma.</w:t>
      </w:r>
    </w:p>
    <w:p>
      <w:pPr>
        <w:spacing w:after="80"/>
      </w:pPr>
      <w:r>
        <w:rPr>
          <w:rFonts w:ascii="Arial" w:cs="Arial" w:eastAsia="Arial" w:hAnsi="Arial"/>
          <w:sz w:val="24"/>
          <w:szCs w:val="24"/>
        </w:rPr>
        <w:t xml:space="preserve">Adicionalmente, desarrolla y edita material audiovisual para uso interno y colabora en la evolución de la identidad visual de la firma, asegurando coherencia y profesionalismo en cada pieza entregada.</w:t>
      </w:r>
    </w:p>
    <w:p>
      <w:pPr>
        <w:spacing w:after="120"/>
      </w:pPr>
      <w:r>
        <w:t xml:space="preserve"/>
      </w:r>
    </w:p>
    <w:p>
      <w:pPr>
        <w:pBdr>
          <w:bottom w:val="single" w:color="2E75B6" w:sz="12" w:space="1"/>
        </w:pBdr>
        <w:spacing w:after="160"/>
      </w:pPr>
      <w:r>
        <w:t xml:space="preserve"/>
      </w:r>
    </w:p>
    <w:p>
      <w:pPr>
        <w:pStyle w:val="Heading1"/>
      </w:pPr>
      <w:r>
        <w:rPr>
          <w:rFonts w:ascii="Arial" w:cs="Arial" w:eastAsia="Arial" w:hAnsi="Arial"/>
          <w:b/>
          <w:bCs/>
          <w:sz w:val="32"/>
          <w:szCs w:val="32"/>
        </w:rPr>
        <w:t xml:space="preserve">Responsabilidades Clave</w:t>
      </w:r>
    </w:p>
    <w:p>
      <w:pPr>
        <w:pStyle w:val="Heading2"/>
      </w:pPr>
      <w:r>
        <w:rPr>
          <w:rFonts w:ascii="Arial" w:cs="Arial" w:eastAsia="Arial" w:hAnsi="Arial"/>
          <w:b/>
          <w:bCs/>
          <w:sz w:val="26"/>
          <w:szCs w:val="26"/>
        </w:rPr>
        <w:t xml:space="preserve">Edición de Contenido Audiovisual Externo</w:t>
      </w:r>
    </w:p>
    <w:p>
      <w:pPr>
        <w:pStyle w:val="ListParagraph"/>
        <w:numPr>
          <w:ilvl w:val="0"/>
          <w:numId w:val="2"/>
        </w:numPr>
        <w:spacing w:after="60"/>
      </w:pPr>
      <w:r>
        <w:rPr>
          <w:rFonts w:ascii="Arial" w:cs="Arial" w:eastAsia="Arial" w:hAnsi="Arial"/>
          <w:sz w:val="24"/>
          <w:szCs w:val="24"/>
        </w:rPr>
        <w:t xml:space="preserve">Recibir, organizar y editar el material audiovisual grabado por Gloriana López para su publicación en plataformas digitales (redes sociales, sitio web y otros canales).</w:t>
      </w:r>
    </w:p>
    <w:p>
      <w:pPr>
        <w:pStyle w:val="ListParagraph"/>
        <w:numPr>
          <w:ilvl w:val="0"/>
          <w:numId w:val="2"/>
        </w:numPr>
        <w:spacing w:after="60"/>
      </w:pPr>
      <w:r>
        <w:rPr>
          <w:rFonts w:ascii="Arial" w:cs="Arial" w:eastAsia="Arial" w:hAnsi="Arial"/>
          <w:sz w:val="24"/>
          <w:szCs w:val="24"/>
        </w:rPr>
        <w:t xml:space="preserve">Asegurar que cada pieza editada cumpla con los estándares de calidad visual, narrativa y técnica definidos por la firma.</w:t>
      </w:r>
    </w:p>
    <w:p>
      <w:pPr>
        <w:pStyle w:val="ListParagraph"/>
        <w:numPr>
          <w:ilvl w:val="0"/>
          <w:numId w:val="2"/>
        </w:numPr>
        <w:spacing w:after="60"/>
      </w:pPr>
      <w:r>
        <w:rPr>
          <w:rFonts w:ascii="Arial" w:cs="Arial" w:eastAsia="Arial" w:hAnsi="Arial"/>
          <w:sz w:val="24"/>
          <w:szCs w:val="24"/>
        </w:rPr>
        <w:t xml:space="preserve">Aplicar motion graphics, subtítulos, música, efectos y elementos de marca según los lineamientos establecidos.</w:t>
      </w:r>
    </w:p>
    <w:p>
      <w:pPr>
        <w:pStyle w:val="ListParagraph"/>
        <w:numPr>
          <w:ilvl w:val="0"/>
          <w:numId w:val="2"/>
        </w:numPr>
        <w:spacing w:after="60"/>
      </w:pPr>
      <w:r>
        <w:rPr>
          <w:rFonts w:ascii="Arial" w:cs="Arial" w:eastAsia="Arial" w:hAnsi="Arial"/>
          <w:sz w:val="24"/>
          <w:szCs w:val="24"/>
        </w:rPr>
        <w:t xml:space="preserve">Exportar y entregar los archivos finales en todos los formatos y especificaciones técnicas requeridos por cada plataforma.</w:t>
      </w:r>
    </w:p>
    <w:p>
      <w:pPr>
        <w:spacing w:after="80"/>
      </w:pPr>
      <w:r>
        <w:t xml:space="preserve"/>
      </w:r>
    </w:p>
    <w:p>
      <w:pPr>
        <w:pStyle w:val="Heading2"/>
      </w:pPr>
      <w:r>
        <w:rPr>
          <w:rFonts w:ascii="Arial" w:cs="Arial" w:eastAsia="Arial" w:hAnsi="Arial"/>
          <w:b/>
          <w:bCs/>
          <w:sz w:val="26"/>
          <w:szCs w:val="26"/>
        </w:rPr>
        <w:t xml:space="preserve">Creación de Contenido Estático para Redes Sociales</w:t>
      </w:r>
    </w:p>
    <w:p>
      <w:pPr>
        <w:pStyle w:val="ListParagraph"/>
        <w:numPr>
          <w:ilvl w:val="0"/>
          <w:numId w:val="2"/>
        </w:numPr>
        <w:spacing w:after="60"/>
      </w:pPr>
      <w:r>
        <w:rPr>
          <w:rFonts w:ascii="Arial" w:cs="Arial" w:eastAsia="Arial" w:hAnsi="Arial"/>
          <w:sz w:val="24"/>
          <w:szCs w:val="24"/>
        </w:rPr>
        <w:t xml:space="preserve">Diseñar piezas gráficas atractivas para redes sociales, incluyendo carruseles, posts informativos, stories y cualquier otro formato estático requerido.</w:t>
      </w:r>
    </w:p>
    <w:p>
      <w:pPr>
        <w:pStyle w:val="ListParagraph"/>
        <w:numPr>
          <w:ilvl w:val="0"/>
          <w:numId w:val="2"/>
        </w:numPr>
        <w:spacing w:after="60"/>
      </w:pPr>
      <w:r>
        <w:rPr>
          <w:rFonts w:ascii="Arial" w:cs="Arial" w:eastAsia="Arial" w:hAnsi="Arial"/>
          <w:sz w:val="24"/>
          <w:szCs w:val="24"/>
        </w:rPr>
        <w:t xml:space="preserve">Garantizar bajo tiempo de respuesta y el menor número de iteraciones posibles en cada entrega.</w:t>
      </w:r>
    </w:p>
    <w:p>
      <w:pPr>
        <w:pStyle w:val="ListParagraph"/>
        <w:numPr>
          <w:ilvl w:val="0"/>
          <w:numId w:val="2"/>
        </w:numPr>
        <w:spacing w:after="60"/>
      </w:pPr>
      <w:r>
        <w:rPr>
          <w:rFonts w:ascii="Arial" w:cs="Arial" w:eastAsia="Arial" w:hAnsi="Arial"/>
          <w:sz w:val="24"/>
          <w:szCs w:val="24"/>
        </w:rPr>
        <w:t xml:space="preserve">Asegurar consistencia visual entre el contenido estático y el audiovisual, manteniendo coherencia de marca en todos los formatos.</w:t>
      </w:r>
    </w:p>
    <w:p>
      <w:pPr>
        <w:spacing w:after="80"/>
      </w:pPr>
      <w:r>
        <w:t xml:space="preserve"/>
      </w:r>
    </w:p>
    <w:p>
      <w:pPr>
        <w:pStyle w:val="Heading2"/>
      </w:pPr>
      <w:r>
        <w:rPr>
          <w:rFonts w:ascii="Arial" w:cs="Arial" w:eastAsia="Arial" w:hAnsi="Arial"/>
          <w:b/>
          <w:bCs/>
          <w:sz w:val="26"/>
          <w:szCs w:val="26"/>
        </w:rPr>
        <w:t xml:space="preserve">Creación de Contenido Interno</w:t>
      </w:r>
    </w:p>
    <w:p>
      <w:pPr>
        <w:pStyle w:val="ListParagraph"/>
        <w:numPr>
          <w:ilvl w:val="0"/>
          <w:numId w:val="2"/>
        </w:numPr>
        <w:spacing w:after="60"/>
      </w:pPr>
      <w:r>
        <w:rPr>
          <w:rFonts w:ascii="Arial" w:cs="Arial" w:eastAsia="Arial" w:hAnsi="Arial"/>
          <w:sz w:val="24"/>
          <w:szCs w:val="24"/>
        </w:rPr>
        <w:t xml:space="preserve">Desarrollar y editar material audiovisual para uso interno: videos de capacitación del equipo, comunicaciones corporativas y recursos que apoyen las operaciones de la firma.</w:t>
      </w:r>
    </w:p>
    <w:p>
      <w:pPr>
        <w:pStyle w:val="ListParagraph"/>
        <w:numPr>
          <w:ilvl w:val="0"/>
          <w:numId w:val="2"/>
        </w:numPr>
        <w:spacing w:after="60"/>
      </w:pPr>
      <w:r>
        <w:rPr>
          <w:rFonts w:ascii="Arial" w:cs="Arial" w:eastAsia="Arial" w:hAnsi="Arial"/>
          <w:sz w:val="24"/>
          <w:szCs w:val="24"/>
        </w:rPr>
        <w:t xml:space="preserve">Producir piezas gráficas internas según las necesidades del departamento y de otras áreas de la firma.</w:t>
      </w:r>
    </w:p>
    <w:p>
      <w:pPr>
        <w:spacing w:after="80"/>
      </w:pPr>
      <w:r>
        <w:t xml:space="preserve"/>
      </w:r>
    </w:p>
    <w:p>
      <w:pPr>
        <w:pStyle w:val="Heading2"/>
      </w:pPr>
      <w:r>
        <w:rPr>
          <w:rFonts w:ascii="Arial" w:cs="Arial" w:eastAsia="Arial" w:hAnsi="Arial"/>
          <w:b/>
          <w:bCs/>
          <w:sz w:val="26"/>
          <w:szCs w:val="26"/>
        </w:rPr>
        <w:t xml:space="preserve">Gestión de Marca Audiovisual y Visual</w:t>
      </w:r>
    </w:p>
    <w:p>
      <w:pPr>
        <w:pStyle w:val="ListParagraph"/>
        <w:numPr>
          <w:ilvl w:val="0"/>
          <w:numId w:val="2"/>
        </w:numPr>
        <w:spacing w:after="60"/>
      </w:pPr>
      <w:r>
        <w:rPr>
          <w:rFonts w:ascii="Arial" w:cs="Arial" w:eastAsia="Arial" w:hAnsi="Arial"/>
          <w:sz w:val="24"/>
          <w:szCs w:val="24"/>
        </w:rPr>
        <w:t xml:space="preserve">Colaborar en la evolución de la identidad visual de la firma en formato de video y diseño gráfico, proponiendo ideas para mantener el contenido relevante y profesional.</w:t>
      </w:r>
    </w:p>
    <w:p>
      <w:pPr>
        <w:pStyle w:val="ListParagraph"/>
        <w:numPr>
          <w:ilvl w:val="0"/>
          <w:numId w:val="2"/>
        </w:numPr>
        <w:spacing w:after="60"/>
      </w:pPr>
      <w:r>
        <w:rPr>
          <w:rFonts w:ascii="Arial" w:cs="Arial" w:eastAsia="Arial" w:hAnsi="Arial"/>
          <w:sz w:val="24"/>
          <w:szCs w:val="24"/>
        </w:rPr>
        <w:t xml:space="preserve">Entregar quincenalmente una propuesta orientada a nuevas tendencias de edición, referencias de la competencia o formatos para la mejora del contenido de la firma.</w:t>
      </w:r>
    </w:p>
    <w:p>
      <w:pPr>
        <w:pStyle w:val="ListParagraph"/>
        <w:numPr>
          <w:ilvl w:val="0"/>
          <w:numId w:val="2"/>
        </w:numPr>
        <w:spacing w:after="60"/>
      </w:pPr>
      <w:r>
        <w:rPr>
          <w:rFonts w:ascii="Arial" w:cs="Arial" w:eastAsia="Arial" w:hAnsi="Arial"/>
          <w:sz w:val="24"/>
          <w:szCs w:val="24"/>
        </w:rPr>
        <w:t xml:space="preserve">Velar por la consistencia del uso de colores, tipografías, elementos gráficos y tono visual en todas las piezas producidas.</w:t>
      </w:r>
    </w:p>
    <w:p>
      <w:pPr>
        <w:spacing w:after="80"/>
      </w:pPr>
      <w:r>
        <w:t xml:space="preserve"/>
      </w:r>
    </w:p>
    <w:p>
      <w:pPr>
        <w:pStyle w:val="Heading2"/>
      </w:pPr>
      <w:r>
        <w:rPr>
          <w:rFonts w:ascii="Arial" w:cs="Arial" w:eastAsia="Arial" w:hAnsi="Arial"/>
          <w:b/>
          <w:bCs/>
          <w:sz w:val="26"/>
          <w:szCs w:val="26"/>
        </w:rPr>
        <w:t xml:space="preserve">Colaboración con el Equipo</w:t>
      </w:r>
    </w:p>
    <w:p>
      <w:pPr>
        <w:pStyle w:val="ListParagraph"/>
        <w:numPr>
          <w:ilvl w:val="0"/>
          <w:numId w:val="2"/>
        </w:numPr>
        <w:spacing w:after="60"/>
      </w:pPr>
      <w:r>
        <w:rPr>
          <w:rFonts w:ascii="Arial" w:cs="Arial" w:eastAsia="Arial" w:hAnsi="Arial"/>
          <w:sz w:val="24"/>
          <w:szCs w:val="24"/>
        </w:rPr>
        <w:t xml:space="preserve">Trabajar en estrecha coordinación con Gloriana López para la recepción oportuna del material grabado y con Alejandra Andrade para la alineación con el calendario editorial.</w:t>
      </w:r>
    </w:p>
    <w:p>
      <w:pPr>
        <w:pStyle w:val="ListParagraph"/>
        <w:numPr>
          <w:ilvl w:val="0"/>
          <w:numId w:val="2"/>
        </w:numPr>
        <w:spacing w:after="60"/>
      </w:pPr>
      <w:r>
        <w:rPr>
          <w:rFonts w:ascii="Arial" w:cs="Arial" w:eastAsia="Arial" w:hAnsi="Arial"/>
          <w:sz w:val="24"/>
          <w:szCs w:val="24"/>
        </w:rPr>
        <w:t xml:space="preserve">Colaborar con el equipo de marketing y otros departamentos para asegurar que la producción audiovisual y gráfica apoye los objetivos estratégicos de la firma.</w:t>
      </w:r>
    </w:p>
    <w:p>
      <w:pPr>
        <w:spacing w:after="120"/>
      </w:pPr>
      <w:r>
        <w:t xml:space="preserve"/>
      </w:r>
    </w:p>
    <w:p>
      <w:pPr>
        <w:pBdr>
          <w:bottom w:val="single" w:color="2E75B6" w:sz="12" w:space="1"/>
        </w:pBdr>
        <w:spacing w:after="160"/>
      </w:pPr>
      <w:r>
        <w:t xml:space="preserve"/>
      </w:r>
    </w:p>
    <w:p>
      <w:pPr>
        <w:pStyle w:val="Heading1"/>
      </w:pPr>
      <w:r>
        <w:rPr>
          <w:rFonts w:ascii="Arial" w:cs="Arial" w:eastAsia="Arial" w:hAnsi="Arial"/>
          <w:b/>
          <w:bCs/>
          <w:sz w:val="32"/>
          <w:szCs w:val="32"/>
        </w:rPr>
        <w:t xml:space="preserve">Requisitos y Habilidades</w:t>
      </w:r>
    </w:p>
    <w:p>
      <w:pPr>
        <w:pStyle w:val="ListParagraph"/>
        <w:numPr>
          <w:ilvl w:val="0"/>
          <w:numId w:val="2"/>
        </w:numPr>
        <w:spacing w:after="60"/>
      </w:pPr>
      <w:r>
        <w:rPr>
          <w:rFonts w:ascii="Arial" w:cs="Arial" w:eastAsia="Arial" w:hAnsi="Arial"/>
          <w:sz w:val="24"/>
          <w:szCs w:val="24"/>
        </w:rPr>
        <w:t xml:space="preserve">Manejo avanzado y experiencia demostrable en edición de video con software especializado: Adobe Premiere Pro, After Effects, DaVinci Resolve, Caput o Final Cut Pro.</w:t>
      </w:r>
    </w:p>
    <w:p>
      <w:pPr>
        <w:pStyle w:val="ListParagraph"/>
        <w:numPr>
          <w:ilvl w:val="0"/>
          <w:numId w:val="2"/>
        </w:numPr>
        <w:spacing w:after="60"/>
      </w:pPr>
      <w:r>
        <w:rPr>
          <w:rFonts w:ascii="Arial" w:cs="Arial" w:eastAsia="Arial" w:hAnsi="Arial"/>
          <w:sz w:val="24"/>
          <w:szCs w:val="24"/>
        </w:rPr>
        <w:t xml:space="preserve">Conocimientos de diseño gráfico con dominio de Adobe Illustrator y/o Photoshop para la creación de artes digitales para redes sociales y uso interno.</w:t>
      </w:r>
    </w:p>
    <w:p>
      <w:pPr>
        <w:pStyle w:val="ListParagraph"/>
        <w:numPr>
          <w:ilvl w:val="0"/>
          <w:numId w:val="2"/>
        </w:numPr>
        <w:spacing w:after="60"/>
      </w:pPr>
      <w:r>
        <w:rPr>
          <w:rFonts w:ascii="Arial" w:cs="Arial" w:eastAsia="Arial" w:hAnsi="Arial"/>
          <w:sz w:val="24"/>
          <w:szCs w:val="24"/>
        </w:rPr>
        <w:t xml:space="preserve">Portafolio sólido que demuestre habilidad técnica en edición y capacidad para desarrollar una narrativa visual coherente y efectiva.</w:t>
      </w:r>
    </w:p>
    <w:p>
      <w:pPr>
        <w:pStyle w:val="ListParagraph"/>
        <w:numPr>
          <w:ilvl w:val="0"/>
          <w:numId w:val="2"/>
        </w:numPr>
        <w:spacing w:after="60"/>
      </w:pPr>
      <w:r>
        <w:rPr>
          <w:rFonts w:ascii="Arial" w:cs="Arial" w:eastAsia="Arial" w:hAnsi="Arial"/>
          <w:sz w:val="24"/>
          <w:szCs w:val="24"/>
        </w:rPr>
        <w:t xml:space="preserve">Capacidad organizativa para gestionar el tiempo y múltiples proyectos de manera eficiente e independiente, cumpliendo plazos de entrega sin sacrificar calidad.</w:t>
      </w:r>
    </w:p>
    <w:p>
      <w:pPr>
        <w:spacing w:after="120"/>
      </w:pPr>
      <w:r>
        <w:t xml:space="preserve"/>
      </w:r>
    </w:p>
    <w:p>
      <w:pPr>
        <w:pBdr>
          <w:bottom w:val="single" w:color="2E75B6" w:sz="12" w:space="1"/>
        </w:pBdr>
        <w:spacing w:after="160"/>
      </w:pPr>
      <w:r>
        <w:t xml:space="preserve"/>
      </w:r>
    </w:p>
    <w:p>
      <w:pPr>
        <w:pStyle w:val="Heading1"/>
      </w:pPr>
      <w:r>
        <w:rPr>
          <w:rFonts w:ascii="Arial" w:cs="Arial" w:eastAsia="Arial" w:hAnsi="Arial"/>
          <w:b/>
          <w:bCs/>
          <w:sz w:val="32"/>
          <w:szCs w:val="32"/>
        </w:rPr>
        <w:t xml:space="preserve">KPIs del Cargo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KPI</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Meta</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Entrega de archivos finales en formatos y especificaciones requeridas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de cumplimiento</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Entregas de edición dentro de plazos estipulados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95% de cumplimiento según cronograma</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Ratio de corrección en edición de video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Máximo 10% — máximo 1 video con ajustes mayores por cada 10 entregados</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Retención promedio de audiencia</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70% de retención por encima de los 3 segundos (efectividad del hook)</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Propuesta quincenal de tendencias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propuesta cada 2 semanas sobre tendencias de edición, referencias o nuevos formatos</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Entrega de elementos del Consultation Day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 de piezas entregadas el lunes siguiente a cada evento</w:t>
            </w:r>
          </w:p>
        </w:tc>
      </w:tr>
    </w:tbl>
    <w:p>
      <w:pPr>
        <w:spacing w:after="80"/>
      </w:pPr>
      <w:r>
        <w:t xml:space="preserve"/>
      </w:r>
    </w:p>
    <w:p>
      <w:pPr>
        <w:spacing w:after="80"/>
      </w:pPr>
      <w:r>
        <w:rPr>
          <w:rFonts w:ascii="Arial" w:cs="Arial" w:eastAsia="Arial" w:hAnsi="Arial"/>
          <w:sz w:val="24"/>
          <w:szCs w:val="24"/>
        </w:rPr>
        <w:t xml:space="preserve">Disclaimer: las funciones y KPIs descritos en este documento podrán variar de acuerdo a criterios de necesidad o actualización. En cualquier caso, la persona titular del cargo será notificada con anticipación.</w:t>
      </w:r>
    </w:p>
    <w:p>
      <w:pPr>
        <w:spacing w:after="120"/>
      </w:pPr>
      <w:r>
        <w:t xml:space="preserve"/>
      </w:r>
    </w:p>
    <w:p>
      <w:pPr>
        <w:pBdr>
          <w:bottom w:val="single" w:color="2E75B6" w:sz="12" w:space="1"/>
        </w:pBdr>
        <w:spacing w:after="160"/>
      </w:pPr>
      <w:r>
        <w:t xml:space="preserve"/>
      </w:r>
    </w:p>
    <w:p>
      <w:pPr>
        <w:pStyle w:val="Heading1"/>
      </w:pPr>
      <w:r>
        <w:rPr>
          <w:rFonts w:ascii="Arial" w:cs="Arial" w:eastAsia="Arial" w:hAnsi="Arial"/>
          <w:b/>
          <w:bCs/>
          <w:sz w:val="32"/>
          <w:szCs w:val="32"/>
        </w:rPr>
        <w:t xml:space="preserve">Cadena de Reporte</w:t>
      </w:r>
    </w:p>
    <w:p>
      <w:pPr>
        <w:spacing w:after="80"/>
      </w:pPr>
      <w:r>
        <w:t xml:space="preserve"/>
      </w:r>
    </w:p>
    <w:p>
      <w:pPr>
        <w:spacing w:after="80"/>
      </w:pPr>
      <w:r>
        <w:rPr>
          <w:rFonts w:ascii="Arial" w:cs="Arial" w:eastAsia="Arial" w:hAnsi="Arial"/>
          <w:sz w:val="24"/>
          <w:szCs w:val="24"/>
        </w:rPr>
        <w:t xml:space="preserve">Sara Castaño es parte del Departamento de Marketing de Mangone Law Firm, LLC.</w:t>
      </w:r>
    </w:p>
    <w:p>
      <w:pPr>
        <w:spacing w:after="60"/>
      </w:pPr>
      <w:r>
        <w:t xml:space="preserve"/>
      </w:r>
    </w:p>
    <w:p>
      <w:pPr>
        <w:pStyle w:val="ListParagraph"/>
        <w:numPr>
          <w:ilvl w:val="0"/>
          <w:numId w:val="2"/>
        </w:numPr>
        <w:spacing w:after="60"/>
      </w:pPr>
      <w:r>
        <w:rPr>
          <w:rFonts w:ascii="Arial" w:cs="Arial" w:eastAsia="Arial" w:hAnsi="Arial"/>
          <w:sz w:val="24"/>
          <w:szCs w:val="24"/>
        </w:rPr>
        <w:t xml:space="preserve">Reporta directamente a: Alejandra Andrade (Community Manager), Sebastián Quijada y Cristofer Saab.</w:t>
      </w:r>
    </w:p>
    <w:p>
      <w:pPr>
        <w:pStyle w:val="ListParagraph"/>
        <w:numPr>
          <w:ilvl w:val="0"/>
          <w:numId w:val="2"/>
        </w:numPr>
        <w:spacing w:after="60"/>
      </w:pPr>
      <w:r>
        <w:rPr>
          <w:rFonts w:ascii="Arial" w:cs="Arial" w:eastAsia="Arial" w:hAnsi="Arial"/>
          <w:sz w:val="24"/>
          <w:szCs w:val="24"/>
        </w:rPr>
        <w:t xml:space="preserve">Se coordina principalmente con Gloriana López para la recepción del material grabado y con Alejandra Andrade para la alineación con el calendario editorial y de publicación.</w:t>
      </w:r>
    </w:p>
    <w:p>
      <w:pPr>
        <w:spacing w:after="120"/>
      </w:pPr>
      <w:r>
        <w:t xml:space="preserve"/>
      </w:r>
    </w:p>
    <w:p>
      <w:pPr>
        <w:pBdr>
          <w:bottom w:val="single" w:color="2E75B6" w:sz="12" w:space="1"/>
        </w:pBdr>
        <w:spacing w:after="160"/>
      </w:pPr>
      <w:r>
        <w:t xml:space="preserve"/>
      </w:r>
    </w:p>
    <w:p>
      <w:pPr>
        <w:spacing w:before="120"/>
        <w:jc w:val="center"/>
      </w:pPr>
      <w:r>
        <w:rPr>
          <w:rFonts w:ascii="Arial" w:cs="Arial" w:eastAsia="Arial" w:hAnsi="Arial"/>
          <w:color w:val="999999"/>
          <w:sz w:val="18"/>
          <w:szCs w:val="18"/>
        </w:rPr>
        <w:t xml:space="preserve">Mangone Law Firm, LLC — Departamento de Marketing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2026-05-10T16:27:05.989Z</dcterms:created>
  <dcterms:modified xsi:type="dcterms:W3CDTF">2026-05-10T16:27:05.992Z</dcterms:modified>
</cp:coreProperties>
</file>

<file path=docProps/custom.xml><?xml version="1.0" encoding="utf-8"?>
<Properties xmlns="http://schemas.openxmlformats.org/officeDocument/2006/custom-properties" xmlns:vt="http://schemas.openxmlformats.org/officeDocument/2006/docPropsVTypes"/>
</file>