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Copy della landing — nuova versione</w:t>
      </w:r>
    </w:p>
    <w:p>
      <w:pPr/>
      <w:r>
        <w:t xml:space="preserve">Proposta di riscrittura del copy nel piano operativo marketing, per il nuovo Incassi Intelligenti conversazionale. Restano invariati offerta, CTA "Richiedi la prova", promessa di richiamata entro 48 ore, avviso sul provider unico e brand "powered by IREC, disponibile anche su Mind". In grassetto fra parentesi quadre i punti da confermare.</w:t>
      </w:r>
    </w:p>
    <w:p>
      <w:pPr>
        <w:pStyle w:val="Heading2"/>
      </w:pPr>
      <w:r>
        <w:t xml:space="preserve">Hero</w:t>
      </w:r>
    </w:p>
    <w:p>
      <w:pPr/>
      <w:r>
        <w:rPr>
          <w:b/>
        </w:rPr>
        <w:t xml:space="preserve">Occhiello:</w:t>
      </w:r>
      <w:r>
        <w:t xml:space="preserve"> INCASSI INTELLIGENTI · POWERED BY IREC</w:t>
      </w:r>
    </w:p>
    <w:p>
      <w:pPr/>
      <w:r>
        <w:rPr>
          <w:b/>
        </w:rPr>
        <w:t xml:space="preserve">H1:</w:t>
      </w:r>
      <w:r>
        <w:t xml:space="preserve"> Il tuo reparto crediti, in chat.</w:t>
      </w:r>
    </w:p>
    <w:p>
      <w:pPr/>
      <w:r>
        <w:rPr>
          <w:b/>
        </w:rPr>
        <w:t xml:space="preserve">Sottotitolo:</w:t>
      </w:r>
      <w:r>
        <w:t xml:space="preserve"> Chiedi a IREC come stanno i tuoi incassi. Ti risponde con i numeri, sollecita i tuoi clienti al momento giusto, legge le loro risposte e ti chiama in causa solo quando serve una tua decisione.</w:t>
      </w:r>
    </w:p>
    <w:p>
      <w:pPr/>
      <w:r>
        <w:rPr>
          <w:b/>
        </w:rPr>
        <w:t xml:space="preserve">CTA primaria:</w:t>
      </w:r>
      <w:r>
        <w:t xml:space="preserve"> Richiedi la prova gratuita</w:t>
      </w:r>
    </w:p>
    <w:p>
      <w:pPr/>
      <w:r>
        <w:rPr>
          <w:b/>
        </w:rPr>
        <w:t xml:space="preserve">CTA secondaria:</w:t>
      </w:r>
      <w:r>
        <w:t xml:space="preserve"> Parla con un consulente</w:t>
      </w:r>
    </w:p>
    <w:p>
      <w:pPr/>
      <w:r>
        <w:rPr>
          <w:b/>
        </w:rPr>
        <w:t xml:space="preserve">Micro-copy:</w:t>
      </w:r>
      <w:r>
        <w:t xml:space="preserve"> 30 giorni senza canone. Paghi solo l'1% di quello che incassi. Un consulente ti richiama entro 48 ore.</w:t>
      </w:r>
    </w:p>
    <w:p>
      <w:pPr/>
      <w:r>
        <w:rPr>
          <w:b/>
        </w:rPr>
        <w:t xml:space="preserve">Proof bar:</w:t>
      </w:r>
      <w:r>
        <w:t xml:space="preserve"> Sviluppato da IREC · dal 1987 nel credito commerciale · 50.800+ azioni di recupero · €210M+ gestiti</w:t>
      </w:r>
    </w:p>
    <w:p>
      <w:pPr/>
      <w:r>
        <w:rPr>
          <w:b/>
        </w:rPr>
        <w:t xml:space="preserve">Visual:</w:t>
      </w:r>
      <w:r>
        <w:t xml:space="preserve"> la chat con "I tuoi numeri" in alto e la risposta a "Come stanno i miei incassi?" (schermate 02 e 03).</w:t>
      </w:r>
    </w:p>
    <w:p>
      <w:pPr>
        <w:pStyle w:val="Heading2"/>
      </w:pPr>
      <w:r>
        <w:t xml:space="preserve">Il problema</w:t>
      </w:r>
    </w:p>
    <w:p>
      <w:pPr/>
      <w:r>
        <w:rPr>
          <w:b/>
        </w:rPr>
        <w:t xml:space="preserve">H2:</w:t>
      </w:r>
      <w:r>
        <w:t xml:space="preserve"> Gli incassi non si perdono quando il credito è insoluto. Si perdono nei 45 giorni prima.</w:t>
      </w:r>
    </w:p>
    <w:p>
      <w:pPr/>
      <w:r>
        <w:t xml:space="preserve">Ritardi di pochi giorni, promesse di pagamento mai rispettate, solleciti mandati quando ci si ricorda, nessuna visione d'insieme su cosa sta per scadere. Non è cattiva volontà dei clienti: in azienda manca il tempo di presidiare ogni scadenza con costanza.</w:t>
      </w:r>
    </w:p>
    <w:p>
      <w:pPr>
        <w:pStyle w:val="Heading2"/>
      </w:pPr>
      <w:r>
        <w:t xml:space="preserve">Come funziona</w:t>
      </w:r>
    </w:p>
    <w:p>
      <w:pPr/>
      <w:r>
        <w:rPr>
          <w:b/>
        </w:rPr>
        <w:t xml:space="preserve">H2:</w:t>
      </w:r>
      <w:r>
        <w:t xml:space="preserve"> Non un software da imparare. Un assistente a cui chiedere.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Step</w:t>
            </w:r>
          </w:p>
        </w:tc>
        <w:tc>
          <w:tcPr>
            <w:tcW w:w="4680" w:type="dxa"/>
            <w:shd w:val="clear" w:color="auto" w:fill="F2F2F2"/>
          </w:tcPr>
          <w:p>
            <w:pPr/>
            <w:r>
              <w:t xml:space="preserve">Copy</w:t>
            </w:r>
          </w:p>
        </w:tc>
      </w:tr>
      <w:tr>
        <w:tc>
          <w:tcPr>
            <w:tcW w:w="4680" w:type="dxa"/>
          </w:tcPr>
          <w:p>
            <w:pPr/>
            <w:r>
              <w:t xml:space="preserve">1. Lo attivi parlando</w:t>
            </w:r>
          </w:p>
        </w:tc>
        <w:tc>
          <w:tcPr>
            <w:tcW w:w="4680" w:type="dxa"/>
          </w:tcPr>
          <w:p>
            <w:pPr/>
            <w:r>
              <w:t xml:space="preserve">Apri la chat con IREC su Mind. Ti guida passo per passo nei collegamenti al cassetto fiscale e al conto, insieme al tuo consulente: circa 15 minuti.</w:t>
            </w:r>
          </w:p>
        </w:tc>
      </w:tr>
      <w:tr>
        <w:tc>
          <w:tcPr>
            <w:tcW w:w="4680" w:type="dxa"/>
          </w:tcPr>
          <w:p>
            <w:pPr/>
            <w:r>
              <w:t xml:space="preserve">2. Lavora da solo</w:t>
            </w:r>
          </w:p>
        </w:tc>
        <w:tc>
          <w:tcPr>
            <w:tcW w:w="4680" w:type="dxa"/>
          </w:tcPr>
          <w:p>
            <w:pPr/>
            <w:r>
              <w:t xml:space="preserve">Le fatture arrivano dall'Agenzia delle Entrate, i pagamenti dal conto. IREC manda promemoria prima della scadenza e solleciti progressivi su email, PEC e WhatsApp, e non scrive mai a chi ha già pagato.</w:t>
            </w:r>
          </w:p>
        </w:tc>
      </w:tr>
      <w:tr>
        <w:tc>
          <w:tcPr>
            <w:tcW w:w="4680" w:type="dxa"/>
          </w:tcPr>
          <w:p>
            <w:pPr/>
            <w:r>
              <w:t xml:space="preserve">3. Risponde ai tuoi clienti</w:t>
            </w:r>
          </w:p>
        </w:tc>
        <w:tc>
          <w:tcPr>
            <w:tcW w:w="4680" w:type="dxa"/>
          </w:tcPr>
          <w:p>
            <w:pPr/>
            <w:r>
              <w:t xml:space="preserve">Se un cliente promette di pagare, chiede una proroga o contesta, IREC lo riconosce, ferma il flusso e ti avvisa.</w:t>
            </w:r>
          </w:p>
        </w:tc>
      </w:tr>
      <w:tr>
        <w:tc>
          <w:tcPr>
            <w:tcW w:w="4680" w:type="dxa"/>
          </w:tcPr>
          <w:p>
            <w:pPr/>
            <w:r>
              <w:t xml:space="preserve">4. Tu chiedi, lui risponde</w:t>
            </w:r>
          </w:p>
        </w:tc>
        <w:tc>
          <w:tcPr>
            <w:tcW w:w="4680" w:type="dxa"/>
          </w:tcPr>
          <w:p>
            <w:pPr/>
            <w:r>
              <w:t xml:space="preserve">"Chi mi deve di più?", "Cosa ha risposto Stark?", "Metti in pausa la fattura 19": risposte con i numeri e azioni che partono solo dopo il tuo ok.</w:t>
            </w:r>
          </w:p>
        </w:tc>
      </w:tr>
    </w:tbl>
    <w:p>
      <w:pPr/>
      <w:r>
        <w:t xml:space="preserve">Nel flusso standard IREC (10 tappe in 45 giorni, personalizzabile con il credit manager), al 45° giorno, se la fattura è ancora aperta, la posizione passa al Recupero Crediti IREC con tutto lo storico già pronto.</w:t>
      </w:r>
    </w:p>
    <w:p>
      <w:pPr>
        <w:pStyle w:val="Heading2"/>
      </w:pPr>
      <w:r>
        <w:t xml:space="preserve">Perché è diverso</w:t>
      </w:r>
    </w:p>
    <w:p>
      <w:pPr/>
      <w:r>
        <w:rPr>
          <w:b/>
        </w:rPr>
        <w:t xml:space="preserve">H2:</w:t>
      </w:r>
      <w:r>
        <w:t xml:space="preserve"> Un agente AI con il metodo e le persone di IREC dietro.</w:t>
      </w:r>
    </w:p>
    <w:p>
      <w:pPr>
        <w:pStyle w:val="ListParagraph"/>
        <w:numPr>
          <w:ilvl w:val="0"/>
          <w:numId w:val="2"/>
        </w:numPr>
      </w:pPr>
      <w:r>
        <w:rPr>
          <w:b/>
        </w:rPr>
        <w:t xml:space="preserve">Il metodo IREC.</w:t>
      </w:r>
      <w:r>
        <w:t xml:space="preserve"> Tempi, canali e tono dei solleciti vengono da 50.800 azioni di recupero, non da impostazioni di default.</w:t>
      </w:r>
    </w:p>
    <w:p>
      <w:pPr>
        <w:pStyle w:val="ListParagraph"/>
        <w:numPr>
          <w:ilvl w:val="0"/>
          <w:numId w:val="2"/>
        </w:numPr>
      </w:pPr>
      <w:r>
        <w:rPr>
          <w:b/>
        </w:rPr>
        <w:t xml:space="preserve">Decidi sempre tu.</w:t>
      </w:r>
      <w:r>
        <w:t xml:space="preserve"> IREC propone, tu confermi: nessuna azione parte senza un tuo clic.</w:t>
      </w:r>
    </w:p>
    <w:p>
      <w:pPr>
        <w:pStyle w:val="ListParagraph"/>
        <w:numPr>
          <w:ilvl w:val="0"/>
          <w:numId w:val="2"/>
        </w:numPr>
      </w:pPr>
      <w:r>
        <w:rPr>
          <w:b/>
        </w:rPr>
        <w:t xml:space="preserve">Un esperto quando serve.</w:t>
      </w:r>
      <w:r>
        <w:t xml:space="preserve"> Il credit manager IREC configura il servizio con te e interviene sui casi fuori dall'ordinario. Puoi coinvolgerlo in chat in qualsiasi momento.</w:t>
      </w:r>
    </w:p>
    <w:p>
      <w:pPr>
        <w:pStyle w:val="ListParagraph"/>
        <w:numPr>
          <w:ilvl w:val="0"/>
          <w:numId w:val="2"/>
        </w:numPr>
      </w:pPr>
      <w:r>
        <w:rPr>
          <w:b/>
        </w:rPr>
        <w:t xml:space="preserve">Un solo interlocutore fino al tribunale.</w:t>
      </w:r>
      <w:r>
        <w:t xml:space="preserve"> Se la fattura non rientra, passa al recupero crediti IREC con il nostro studio legale interno.</w:t>
      </w:r>
    </w:p>
    <w:p>
      <w:pPr>
        <w:pStyle w:val="ListParagraph"/>
        <w:numPr>
          <w:ilvl w:val="0"/>
          <w:numId w:val="2"/>
        </w:numPr>
      </w:pPr>
      <w:r>
        <w:rPr>
          <w:b/>
        </w:rPr>
        <w:t xml:space="preserve">Tutto tracciato.</w:t>
      </w:r>
      <w:r>
        <w:t xml:space="preserve"> Ogni sollecito, risposta e azione resta nello storico; ogni mese ricevi un report PDF.</w:t>
      </w:r>
    </w:p>
    <w:p>
      <w:pPr>
        <w:pStyle w:val="Heading2"/>
      </w:pPr>
      <w:r>
        <w:t xml:space="preserve">Come si parte</w:t>
      </w:r>
    </w:p>
    <w:p>
      <w:pPr/>
      <w:r>
        <w:rPr>
          <w:b/>
        </w:rPr>
        <w:t xml:space="preserve">H2:</w:t>
      </w:r>
      <w:r>
        <w:t xml:space="preserve"> Cosa succede dopo la tua richiesta</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Quando</w:t>
            </w:r>
          </w:p>
        </w:tc>
        <w:tc>
          <w:tcPr>
            <w:tcW w:w="4680" w:type="dxa"/>
            <w:shd w:val="clear" w:color="auto" w:fill="F2F2F2"/>
          </w:tcPr>
          <w:p>
            <w:pPr/>
            <w:r>
              <w:t xml:space="preserve">Cosa succede</w:t>
            </w:r>
          </w:p>
        </w:tc>
      </w:tr>
      <w:tr>
        <w:tc>
          <w:tcPr>
            <w:tcW w:w="4680" w:type="dxa"/>
          </w:tcPr>
          <w:p>
            <w:pPr/>
            <w:r>
              <w:t xml:space="preserve">Oggi</w:t>
            </w:r>
          </w:p>
        </w:tc>
        <w:tc>
          <w:tcPr>
            <w:tcW w:w="4680" w:type="dxa"/>
          </w:tcPr>
          <w:p>
            <w:pPr/>
            <w:r>
              <w:t xml:space="preserve">Compili il form e ci dici come lavori. Ti indichiamo il piano più adatto</w:t>
            </w:r>
          </w:p>
        </w:tc>
      </w:tr>
      <w:tr>
        <w:tc>
          <w:tcPr>
            <w:tcW w:w="4680" w:type="dxa"/>
          </w:tcPr>
          <w:p>
            <w:pPr/>
            <w:r>
              <w:t xml:space="preserve">Entro 48 ore</w:t>
            </w:r>
          </w:p>
        </w:tc>
        <w:tc>
          <w:tcPr>
            <w:tcW w:w="4680" w:type="dxa"/>
          </w:tcPr>
          <w:p>
            <w:pPr/>
            <w:r>
              <w:t xml:space="preserve">Un consulente IREC ti richiama e attiva la tua utenza</w:t>
            </w:r>
          </w:p>
        </w:tc>
      </w:tr>
      <w:tr>
        <w:tc>
          <w:tcPr>
            <w:tcW w:w="4680" w:type="dxa"/>
          </w:tcPr>
          <w:p>
            <w:pPr/>
            <w:r>
              <w:t xml:space="preserve">Giorno 1</w:t>
            </w:r>
          </w:p>
        </w:tc>
        <w:tc>
          <w:tcPr>
            <w:tcW w:w="4680" w:type="dxa"/>
          </w:tcPr>
          <w:p>
            <w:pPr/>
            <w:r>
              <w:t xml:space="preserve">Apri la chat con IREC e colleghi cassetto fiscale e conto, insieme al consulente. Con lui decidi tempi, canali e tono dei solleciti</w:t>
            </w:r>
          </w:p>
        </w:tc>
      </w:tr>
      <w:tr>
        <w:tc>
          <w:tcPr>
            <w:tcW w:w="4680" w:type="dxa"/>
          </w:tcPr>
          <w:p>
            <w:pPr/>
            <w:r>
              <w:t xml:space="preserve">Giorni 2–4</w:t>
            </w:r>
          </w:p>
        </w:tc>
        <w:tc>
          <w:tcPr>
            <w:tcW w:w="4680" w:type="dxa"/>
          </w:tcPr>
          <w:p>
            <w:pPr/>
            <w:r>
              <w:t xml:space="preserve">L'Agenzia delle Entrate rilascia i documenti: è il tempo tecnico ministeriale</w:t>
            </w:r>
          </w:p>
        </w:tc>
      </w:tr>
      <w:tr>
        <w:tc>
          <w:tcPr>
            <w:tcW w:w="4680" w:type="dxa"/>
          </w:tcPr>
          <w:p>
            <w:pPr/>
            <w:r>
              <w:t xml:space="preserve">Giorno 5</w:t>
            </w:r>
          </w:p>
        </w:tc>
        <w:tc>
          <w:tcPr>
            <w:tcW w:w="4680" w:type="dxa"/>
          </w:tcPr>
          <w:p>
            <w:pPr/>
            <w:r>
              <w:t xml:space="preserve">Chiedi a IREC "com'è il mio portafoglio?" e vedi affidato, in scadenza e scaduto</w:t>
            </w:r>
          </w:p>
        </w:tc>
      </w:tr>
      <w:tr>
        <w:tc>
          <w:tcPr>
            <w:tcW w:w="4680" w:type="dxa"/>
          </w:tcPr>
          <w:p>
            <w:pPr/>
            <w:r>
              <w:t xml:space="preserve">Giorni 5–30</w:t>
            </w:r>
          </w:p>
        </w:tc>
        <w:tc>
          <w:tcPr>
            <w:tcW w:w="4680" w:type="dxa"/>
          </w:tcPr>
          <w:p>
            <w:pPr/>
            <w:r>
              <w:t xml:space="preserve">I solleciti partono da soli. Ricevi solo le cose che richiedono una tua decisione</w:t>
            </w:r>
          </w:p>
        </w:tc>
      </w:tr>
      <w:tr>
        <w:tc>
          <w:tcPr>
            <w:tcW w:w="4680" w:type="dxa"/>
          </w:tcPr>
          <w:p>
            <w:pPr/>
            <w:r>
              <w:t xml:space="preserve">Giorno 30</w:t>
            </w:r>
          </w:p>
        </w:tc>
        <w:tc>
          <w:tcPr>
            <w:tcW w:w="4680" w:type="dxa"/>
          </w:tcPr>
          <w:p>
            <w:pPr/>
            <w:r>
              <w:t xml:space="preserve">Report con quanto è stato incassato e quanto è rientrato in tempo</w:t>
            </w:r>
          </w:p>
        </w:tc>
      </w:tr>
    </w:tbl>
    <w:p>
      <w:pPr/>
      <w:r>
        <w:t xml:space="preserve">I 30 giorni di prova partono da quando i tuoi dati sono a sistema.</w:t>
      </w:r>
    </w:p>
    <w:p>
      <w:pPr>
        <w:pStyle w:val="Heading2"/>
      </w:pPr>
      <w:r>
        <w:t xml:space="preserve">Pricing</w:t>
      </w:r>
    </w:p>
    <w:p>
      <w:pPr/>
      <w:r>
        <w:rPr>
          <w:b/>
        </w:rPr>
        <w:t xml:space="preserve">H2:</w:t>
      </w:r>
      <w:r>
        <w:t xml:space="preserve"> Trenta giorni per capire se funziona sulle tue fatture</w:t>
      </w:r>
    </w:p>
    <w:p>
      <w:pPr/>
      <w:r>
        <w:rPr>
          <w:b/>
        </w:rPr>
        <w:t xml:space="preserve">Nota sopra le card:</w:t>
      </w:r>
      <w:r>
        <w:t xml:space="preserve"> Tutti i piani in prova per 30 giorni senza canone. Durante la prova paghi solo l'1% sugli importi effettivamente incassati: se non incassi nulla, non paghi nulla. Al 31° giorno parte il canone del piano scelto, salvo disdetta. Prezzi al netto di IVA.</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p>
        </w:tc>
        <w:tc>
          <w:tcPr>
            <w:tcW w:w="2340" w:type="dxa"/>
            <w:shd w:val="clear" w:color="auto" w:fill="F2F2F2"/>
          </w:tcPr>
          <w:p>
            <w:pPr/>
            <w:r>
              <w:t xml:space="preserve">Entry</w:t>
            </w:r>
          </w:p>
        </w:tc>
        <w:tc>
          <w:tcPr>
            <w:tcW w:w="2340" w:type="dxa"/>
            <w:shd w:val="clear" w:color="auto" w:fill="F2F2F2"/>
          </w:tcPr>
          <w:p>
            <w:pPr/>
            <w:r>
              <w:t xml:space="preserve">Value</w:t>
            </w:r>
          </w:p>
        </w:tc>
        <w:tc>
          <w:tcPr>
            <w:tcW w:w="2340" w:type="dxa"/>
            <w:shd w:val="clear" w:color="auto" w:fill="F2F2F2"/>
          </w:tcPr>
          <w:p>
            <w:pPr/>
            <w:r>
              <w:t xml:space="preserve">Premium</w:t>
            </w:r>
          </w:p>
        </w:tc>
      </w:tr>
      <w:tr>
        <w:tc>
          <w:tcPr>
            <w:tcW w:w="2340" w:type="dxa"/>
          </w:tcPr>
          <w:p>
            <w:pPr/>
            <w:r>
              <w:t xml:space="preserve">Canone</w:t>
            </w:r>
          </w:p>
        </w:tc>
        <w:tc>
          <w:tcPr>
            <w:tcW w:w="2340" w:type="dxa"/>
          </w:tcPr>
          <w:p>
            <w:pPr/>
            <w:r>
              <w:t xml:space="preserve">€49/mese</w:t>
            </w:r>
          </w:p>
        </w:tc>
        <w:tc>
          <w:tcPr>
            <w:tcW w:w="2340" w:type="dxa"/>
          </w:tcPr>
          <w:p>
            <w:pPr/>
            <w:r>
              <w:t xml:space="preserve">€89/mese · più scelto</w:t>
            </w:r>
          </w:p>
        </w:tc>
        <w:tc>
          <w:tcPr>
            <w:tcW w:w="2340" w:type="dxa"/>
          </w:tcPr>
          <w:p>
            <w:pPr/>
            <w:r>
              <w:t xml:space="preserve">€149/mese</w:t>
            </w:r>
          </w:p>
        </w:tc>
      </w:tr>
      <w:tr>
        <w:tc>
          <w:tcPr>
            <w:tcW w:w="2340" w:type="dxa"/>
          </w:tcPr>
          <w:p>
            <w:pPr/>
            <w:r>
              <w:t xml:space="preserve">Commissione</w:t>
            </w:r>
          </w:p>
        </w:tc>
        <w:tc>
          <w:tcPr>
            <w:tcW w:w="2340" w:type="dxa"/>
          </w:tcPr>
          <w:p>
            <w:pPr/>
            <w:r>
              <w:t xml:space="preserve">1% sull'incassato</w:t>
            </w:r>
          </w:p>
        </w:tc>
        <w:tc>
          <w:tcPr>
            <w:tcW w:w="2340" w:type="dxa"/>
          </w:tcPr>
          <w:p>
            <w:pPr/>
            <w:r>
              <w:t xml:space="preserve">1% sull'incassato</w:t>
            </w:r>
          </w:p>
        </w:tc>
        <w:tc>
          <w:tcPr>
            <w:tcW w:w="2340" w:type="dxa"/>
          </w:tcPr>
          <w:p>
            <w:pPr/>
            <w:r>
              <w:t xml:space="preserve">1% sull'incassato</w:t>
            </w:r>
          </w:p>
        </w:tc>
      </w:tr>
      <w:tr>
        <w:tc>
          <w:tcPr>
            <w:tcW w:w="2340" w:type="dxa"/>
          </w:tcPr>
          <w:p>
            <w:pPr/>
            <w:r>
              <w:t xml:space="preserve">Fatture al mese</w:t>
            </w:r>
          </w:p>
        </w:tc>
        <w:tc>
          <w:tcPr>
            <w:tcW w:w="2340" w:type="dxa"/>
          </w:tcPr>
          <w:p>
            <w:pPr/>
            <w:r>
              <w:t xml:space="preserve">fino a 100</w:t>
            </w:r>
          </w:p>
        </w:tc>
        <w:tc>
          <w:tcPr>
            <w:tcW w:w="2340" w:type="dxa"/>
          </w:tcPr>
          <w:p>
            <w:pPr/>
            <w:r>
              <w:t xml:space="preserve">fino a 200</w:t>
            </w:r>
          </w:p>
        </w:tc>
        <w:tc>
          <w:tcPr>
            <w:tcW w:w="2340" w:type="dxa"/>
          </w:tcPr>
          <w:p>
            <w:pPr/>
            <w:r>
              <w:t xml:space="preserve">fino a 300</w:t>
            </w:r>
          </w:p>
        </w:tc>
      </w:tr>
      <w:tr>
        <w:tc>
          <w:tcPr>
            <w:tcW w:w="2340" w:type="dxa"/>
          </w:tcPr>
          <w:p>
            <w:pPr/>
            <w:r>
              <w:t xml:space="preserve">Canali</w:t>
            </w:r>
          </w:p>
        </w:tc>
        <w:tc>
          <w:tcPr>
            <w:tcW w:w="2340" w:type="dxa"/>
          </w:tcPr>
          <w:p>
            <w:pPr/>
            <w:r>
              <w:t xml:space="preserve">Email e PEC</w:t>
            </w:r>
          </w:p>
        </w:tc>
        <w:tc>
          <w:tcPr>
            <w:tcW w:w="2340" w:type="dxa"/>
          </w:tcPr>
          <w:p>
            <w:pPr/>
            <w:r>
              <w:t xml:space="preserve">Email, PEC e WhatsApp</w:t>
            </w:r>
          </w:p>
        </w:tc>
        <w:tc>
          <w:tcPr>
            <w:tcW w:w="2340" w:type="dxa"/>
          </w:tcPr>
          <w:p>
            <w:pPr/>
            <w:r>
              <w:t xml:space="preserve">Email, PEC, WhatsApp e chiamata del credit manager</w:t>
            </w:r>
          </w:p>
        </w:tc>
      </w:tr>
      <w:tr>
        <w:tc>
          <w:tcPr>
            <w:tcW w:w="2340" w:type="dxa"/>
          </w:tcPr>
          <w:p>
            <w:pPr/>
            <w:r>
              <w:t xml:space="preserve">Flusso</w:t>
            </w:r>
          </w:p>
        </w:tc>
        <w:tc>
          <w:tcPr>
            <w:tcW w:w="2340" w:type="dxa"/>
          </w:tcPr>
          <w:p>
            <w:pPr/>
            <w:r>
              <w:t xml:space="preserve">Standard IREC</w:t>
            </w:r>
          </w:p>
        </w:tc>
        <w:tc>
          <w:tcPr>
            <w:tcW w:w="2340" w:type="dxa"/>
          </w:tcPr>
          <w:p>
            <w:pPr/>
            <w:r>
              <w:t xml:space="preserve">Personalizzato con il credit manager</w:t>
            </w:r>
          </w:p>
        </w:tc>
        <w:tc>
          <w:tcPr>
            <w:tcW w:w="2340" w:type="dxa"/>
          </w:tcPr>
          <w:p>
            <w:pPr/>
            <w:r>
              <w:t xml:space="preserve">Personalizzato, con tono e firma</w:t>
            </w:r>
          </w:p>
        </w:tc>
      </w:tr>
      <w:tr>
        <w:tc>
          <w:tcPr>
            <w:tcW w:w="2340" w:type="dxa"/>
          </w:tcPr>
          <w:p>
            <w:pPr/>
            <w:r>
              <w:t xml:space="preserve">Credit manager</w:t>
            </w:r>
          </w:p>
        </w:tc>
        <w:tc>
          <w:tcPr>
            <w:tcW w:w="2340" w:type="dxa"/>
          </w:tcPr>
          <w:p>
            <w:pPr/>
            <w:r>
              <w:t xml:space="preserve">Configura il servizio</w:t>
            </w:r>
          </w:p>
        </w:tc>
        <w:tc>
          <w:tcPr>
            <w:tcW w:w="2340" w:type="dxa"/>
          </w:tcPr>
          <w:p>
            <w:pPr/>
            <w:r>
              <w:t xml:space="preserve">Configura e personalizza</w:t>
            </w:r>
          </w:p>
        </w:tc>
        <w:tc>
          <w:tcPr>
            <w:tcW w:w="2340" w:type="dxa"/>
          </w:tcPr>
          <w:p>
            <w:pPr/>
            <w:r>
              <w:t xml:space="preserve">Dedicato: segue i tuoi clienti al telefono</w:t>
            </w:r>
          </w:p>
        </w:tc>
      </w:tr>
      <w:tr>
        <w:tc>
          <w:tcPr>
            <w:tcW w:w="2340" w:type="dxa"/>
          </w:tcPr>
          <w:p>
            <w:pPr/>
            <w:r>
              <w:t xml:space="preserve">Chat con IREC e report mensile</w:t>
            </w:r>
          </w:p>
        </w:tc>
        <w:tc>
          <w:tcPr>
            <w:tcW w:w="2340" w:type="dxa"/>
          </w:tcPr>
          <w:p>
            <w:pPr/>
            <w:r>
              <w:t xml:space="preserve">✓</w:t>
            </w:r>
          </w:p>
        </w:tc>
        <w:tc>
          <w:tcPr>
            <w:tcW w:w="2340" w:type="dxa"/>
          </w:tcPr>
          <w:p>
            <w:pPr/>
            <w:r>
              <w:t xml:space="preserve">✓</w:t>
            </w:r>
          </w:p>
        </w:tc>
        <w:tc>
          <w:tcPr>
            <w:tcW w:w="2340" w:type="dxa"/>
          </w:tcPr>
          <w:p>
            <w:pPr/>
            <w:r>
              <w:t xml:space="preserve">✓</w:t>
            </w:r>
          </w:p>
        </w:tc>
      </w:tr>
    </w:tbl>
    <w:p>
      <w:pPr/>
      <w:r>
        <w:rPr>
          <w:b/>
        </w:rPr>
        <w:t xml:space="preserve">Sotto le card:</w:t>
      </w:r>
      <w:r>
        <w:t xml:space="preserve"> Superi le fatture del piano? Il servizio non si ferma: le fatture in più si pagano a consumo </w:t>
      </w:r>
      <w:r>
        <w:rPr>
          <w:b/>
        </w:rPr>
        <w:t xml:space="preserve">(1,50 € su Entry, 1,20 € su Value, 0,80 € su Premium, IVA esclusa)</w:t>
      </w:r>
      <w:r>
        <w:t xml:space="preserve">.</w:t>
      </w:r>
    </w:p>
    <w:p>
      <w:pPr/>
      <w:r>
        <w:rPr>
          <w:b/>
        </w:rPr>
        <w:t xml:space="preserve">CTA su ogni card:</w:t>
      </w:r>
      <w:r>
        <w:t xml:space="preserve"> Richiedi la prova</w:t>
      </w:r>
    </w:p>
    <w:p>
      <w:pPr>
        <w:pStyle w:val="Heading2"/>
      </w:pPr>
      <w:r>
        <w:t xml:space="preserve">Avviso provider unico</w:t>
      </w:r>
    </w:p>
    <w:p>
      <w:pPr/>
      <w:r>
        <w:t xml:space="preserve">Un solo provider alla volta sul cassetto fiscale. L'Agenzia delle Entrate consente a ogni partita IVA un unico intermediario tecnologico per la consultazione automatica dei documenti. Attivando Incassi Intelligenti, un eventuale collegamento precedente (gestionale o commercialista) verrà disattivato. Se hai dubbi, il consulente ti aiuta a valutarlo prima di procedere.</w:t>
      </w:r>
    </w:p>
    <w:p>
      <w:pPr>
        <w:pStyle w:val="Heading2"/>
      </w:pPr>
      <w:r>
        <w:t xml:space="preserve">FAQ</w:t>
      </w:r>
    </w:p>
    <w:p>
      <w:pPr/>
      <w:r>
        <w:rPr>
          <w:b/>
        </w:rPr>
        <w:t xml:space="preserve">Devo imparare un software?</w:t>
      </w:r>
      <w:r>
        <w:t xml:space="preserve"> No. Scrivi a IREC come scriveresti a un collega: "come stanno i miei incassi?", "chi paga in ritardo?". Ti risponde con numeri e tabelle.</w:t>
      </w:r>
    </w:p>
    <w:p>
      <w:pPr/>
      <w:r>
        <w:rPr>
          <w:b/>
        </w:rPr>
        <w:t xml:space="preserve">L'AI può scrivere ai miei clienti senza il mio ok?</w:t>
      </w:r>
      <w:r>
        <w:t xml:space="preserve"> I solleciti seguono il flusso che decidi all'avvio con il credit manager. Ogni altra azione (pausa, blocco, proroga, passaggio al recupero) parte solo dopo un tuo clic di conferma.</w:t>
      </w:r>
    </w:p>
    <w:p>
      <w:pPr/>
      <w:r>
        <w:rPr>
          <w:b/>
        </w:rPr>
        <w:t xml:space="preserve">Da quale indirizzo ricevono i solleciti i miei clienti?</w:t>
      </w:r>
      <w:r>
        <w:t xml:space="preserve"> Da un indirizzo dedicato sul dominio Incassi Intelligenti per email e PEC, e dal numero WhatsApp "Incassi Intelligenti". Nel messaggio c'è sempre la ragione sociale della tua azienda.</w:t>
      </w:r>
    </w:p>
    <w:p>
      <w:pPr/>
      <w:r>
        <w:rPr>
          <w:b/>
        </w:rPr>
        <w:t xml:space="preserve">Cosa succede se un cliente risponde?</w:t>
      </w:r>
      <w:r>
        <w:t xml:space="preserve"> IREC legge la risposta: se promette di pagare, chiede una proroga o contesta, ferma il flusso e ti avvisa. La conversazione la trovi in chat.</w:t>
      </w:r>
    </w:p>
    <w:p>
      <w:pPr/>
      <w:r>
        <w:rPr>
          <w:b/>
        </w:rPr>
        <w:t xml:space="preserve">Posso cambiare tempi, testi o tono?</w:t>
      </w:r>
      <w:r>
        <w:t xml:space="preserve"> Sì, chiedendolo in chat: la richiesta arriva al tuo credit manager, che la applica e ti conferma la data.</w:t>
      </w:r>
    </w:p>
    <w:p>
      <w:pPr/>
      <w:r>
        <w:rPr>
          <w:b/>
        </w:rPr>
        <w:t xml:space="preserve">Cosa vuol dire prova gratuita?</w:t>
      </w:r>
      <w:r>
        <w:t xml:space="preserve"> Per 30 giorni non paghi il canone. Resta l'1% sugli importi che incassi: se non incassi nulla, non paghi nulla.</w:t>
      </w:r>
    </w:p>
    <w:p>
      <w:pPr/>
      <w:r>
        <w:rPr>
          <w:b/>
        </w:rPr>
        <w:t xml:space="preserve">Devo lasciare un metodo di pagamento?</w:t>
      </w:r>
      <w:r>
        <w:t xml:space="preserve"> Sì, carta o IBAN. Serve per attivare la prova e per far partire il piano al 31° giorno se decidi di continuare.</w:t>
      </w:r>
    </w:p>
    <w:p>
      <w:pPr/>
      <w:r>
        <w:rPr>
          <w:b/>
        </w:rPr>
        <w:t xml:space="preserve">Cosa succede al 31° giorno?</w:t>
      </w:r>
      <w:r>
        <w:t xml:space="preserve"> Parte il piano scelto, con addebito sul metodo indicato. Ti avvisiamo per email 7 giorni prima e 2 giorni prima.</w:t>
      </w:r>
    </w:p>
    <w:p>
      <w:pPr/>
      <w:r>
        <w:rPr>
          <w:b/>
        </w:rPr>
        <w:t xml:space="preserve">Come disdico?</w:t>
      </w:r>
      <w:r>
        <w:t xml:space="preserve"> </w:t>
      </w:r>
      <w:r>
        <w:rPr>
          <w:b/>
        </w:rPr>
        <w:t xml:space="preserve">[Da confermare: in piattaforma con "Annulla il rinnovo automatico", come da GTM]</w:t>
      </w:r>
    </w:p>
    <w:p>
      <w:pPr/>
      <w:r>
        <w:rPr>
          <w:b/>
        </w:rPr>
        <w:t xml:space="preserve">Cosa succede se supero le fatture del piano?</w:t>
      </w:r>
      <w:r>
        <w:t xml:space="preserve"> Il servizio continua: le fatture in più si pagano a consumo a fine mese, e IREC ti dice quando conviene passare al piano superiore.</w:t>
      </w:r>
    </w:p>
    <w:p>
      <w:pPr/>
      <w:r>
        <w:rPr>
          <w:b/>
        </w:rPr>
        <w:t xml:space="preserve">Devo caricare le fatture a mano?</w:t>
      </w:r>
      <w:r>
        <w:t xml:space="preserve"> No, arrivano dal cassetto fiscale.</w:t>
      </w:r>
    </w:p>
    <w:p>
      <w:pPr/>
      <w:r>
        <w:rPr>
          <w:b/>
        </w:rPr>
        <w:t xml:space="preserve">I miei dati bancari sono al sicuro?</w:t>
      </w:r>
      <w:r>
        <w:t xml:space="preserve"> Il collegamento avviene tramite Fabrick, sotto licenza AISP autorizzata da Banca d'Italia. Le credenziali dell'home banking non passano dalla nostra piattaforma.</w:t>
      </w:r>
    </w:p>
    <w:p>
      <w:pPr/>
      <w:r>
        <w:rPr>
          <w:b/>
        </w:rPr>
        <w:t xml:space="preserve">Cosa succede se il cliente non paga nemmeno dopo i solleciti?</w:t>
      </w:r>
      <w:r>
        <w:t xml:space="preserve"> Al 45° giorno la posizione passa al recupero crediti IREC, con lo storico delle comunicazioni già pronto.</w:t>
      </w:r>
    </w:p>
    <w:p>
      <w:pPr>
        <w:pStyle w:val="Heading2"/>
      </w:pPr>
      <w:r>
        <w:t xml:space="preserve">CTA finale</w:t>
      </w:r>
    </w:p>
    <w:p>
      <w:pPr/>
      <w:r>
        <w:rPr>
          <w:b/>
        </w:rPr>
        <w:t xml:space="preserve">H2:</w:t>
      </w:r>
      <w:r>
        <w:t xml:space="preserve"> Le tue fatture stanno già scadendo. Chiedi a IREC quante rientrano in 30 giorni.</w:t>
      </w:r>
    </w:p>
    <w:p>
      <w:pPr/>
      <w:r>
        <w:rPr>
          <w:b/>
        </w:rPr>
        <w:t xml:space="preserve">CTA:</w:t>
      </w:r>
      <w:r>
        <w:t xml:space="preserve"> Richiedi la prova gratuita</w:t>
      </w:r>
    </w:p>
    <w:p>
      <w:pPr/>
      <w:r>
        <w:rPr>
          <w:b/>
        </w:rPr>
        <w:t xml:space="preserve">Micro-copy:</w:t>
      </w:r>
      <w:r>
        <w:t xml:space="preserve"> 30 giorni senza canone · Paghi solo l'1% di quello che incassi · Ti richiamiamo entro 48 ore</w:t>
      </w:r>
    </w:p>
    <w:p>
      <w:pPr>
        <w:pStyle w:val="Heading2"/>
      </w:pPr>
      <w:r>
        <w:t xml:space="preserve">Mail transazionale "Utenza attivata"</w:t>
      </w:r>
    </w:p>
    <w:p>
      <w:pPr/>
      <w:r>
        <w:rPr>
          <w:b/>
        </w:rPr>
        <w:t xml:space="preserve">Oggetto:</w:t>
      </w:r>
      <w:r>
        <w:t xml:space="preserve"> Il tuo accesso a Incassi Intelligenti</w:t>
      </w:r>
    </w:p>
    <w:p>
      <w:pPr/>
      <w:r>
        <w:rPr>
          <w:b/>
        </w:rPr>
        <w:t xml:space="preserve">Contenuto chiave:</w:t>
      </w:r>
      <w:r>
        <w:t xml:space="preserve"> link di accesso a Mind; "apri la chat con IREC: ti guida lei nei collegamenti al cassetto fiscale e al conto, insieme al tuo consulente"; tempo stimato 15 minuti; tre domande da provare subito.</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Copy della landing — nuova versione</dc:title>
  <dc:description>Claude Docs node/5f2ae3b2-6c05@4 docx-w6</dc:description>
  <cp:revision>4</cp:revision>
</cp:coreProperties>
</file>