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84C"/>
          <w:spacing w:val="60"/>
          <w:sz w:val="19"/>
          <w:szCs w:val="19"/>
        </w:rPr>
        <w:t xml:space="preserve">HOMEESTIMATOR.AI</w:t>
      </w:r>
    </w:p>
    <w:p>
      <w:pPr>
        <w:pStyle w:val="Heading1"/>
        <w:spacing w:after="100" w:before="0"/>
      </w:pPr>
      <w:r>
        <w:rPr>
          <w:b/>
          <w:bCs/>
          <w:color w:val="1A1A1A"/>
        </w:rPr>
        <w:t xml:space="preserve">60-Second GC Cut — Production Script</w:t>
      </w:r>
    </w:p>
    <w:p>
      <w:pPr>
        <w:pBdr>
          <w:bottom w:val="single" w:color="C9A84C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60-second social cut (one avatar throughout)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Vertical 1080 x 1920, 30fps — locked to 60.0s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Persona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General Contractors (primary)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Palette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 black #1A1A1A / #0A0A0A; gold #D4AF37 / #C9A84C; light gold #F9E076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Playfair Display headlines, DM Sans body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3-day money-back guarantee</w:t>
            </w:r>
          </w:p>
        </w:tc>
      </w:tr>
      <w:tr>
        <w:tc>
          <w:tcPr>
            <w:tcW w:type="dxa" w:w="26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Proof point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23+ years of field data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A1A1A"/>
        </w:rPr>
        <w:t xml:space="preserve">Scene breakdown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1 — Cold Open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A-Roll  ·  AI Generated  ·  0:00 – 0:06  ·  6s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Avatar center frame, deep black backdrop, thin gold rule under the lower third.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It's nine at night. You're still building a bid you should have sent Tuesday.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2 — The Cost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B-Roll  ·  Stock  ·  0:06 – 0:16  ·  10s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Contractor at a kitchen table, laptop open, plans spread out, late-evening light.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bid that takes three days is a bid somebody faster already won. And the ones you rush are the ones that eat your margin.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3 — The Turn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A-Roll  ·  AI Generated  ·  0:16 – 0:24  ·  8s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Avatar, gold accent sweep transition in.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HomeEstimator.ai was built by a builder — over twenty-three years of real jobsite data behind every number.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4 — How It Works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B-Roll  ·  Motion Graphics  ·  0:24 – 0:34  ·  10s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sequential cards: Pick the rooms / Set the finish level / Branded proposal out the door. Gold on black, clean type.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 your rooms. Pick Good, Better, or Best. No plans, no takeoff, no spreadsheet gymnastics.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5 — The Output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B-Roll  ·  Motion Graphics  ·  0:34 – 0:44  ·  10s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Proposal document assembling on screen under an ABC Construction logo, line items resolving into a clean total. On-screen eyebrow: Ten minutes later.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Ten minutes later you've got a proposal with your name on it — priced from field-derived rules, not guesswork.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6 — The Stakes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A-Roll  ·  AI Generated  ·  0:44 – 0:51  ·  7s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Avatar, tighter framing.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competition is still measuring. You're already sitting across from the client.</w:t>
      </w:r>
    </w:p>
    <w:p>
      <w:pPr>
        <w:pStyle w:val="Heading2"/>
        <w:spacing w:after="60" w:before="340"/>
      </w:pPr>
      <w:r>
        <w:rPr>
          <w:b/>
          <w:bCs/>
          <w:color w:val="1A1A1A"/>
        </w:rPr>
        <w:t xml:space="preserve">Scene 7 — CTA</w:t>
      </w:r>
    </w:p>
    <w:p>
      <w:pPr>
        <w:spacing w:after="160"/>
      </w:pPr>
      <w:r>
        <w:rPr>
          <w:b/>
          <w:bCs/>
          <w:color w:val="5F5949"/>
          <w:sz w:val="19"/>
          <w:szCs w:val="19"/>
        </w:rPr>
        <w:t xml:space="preserve">B-Roll  ·  Motion Graphics  ·  0:51 – 1:00  ·  9s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VISUAL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Outro — HomeEstimator.ai lockup, gold on deep black, three-day money-back guarantee badge, logo bottom-left.</w:t>
      </w:r>
    </w:p>
    <w:p>
      <w:pPr>
        <w:spacing w:after="40" w:before="120"/>
      </w:pPr>
      <w:r>
        <w:rPr>
          <w:b/>
          <w:bCs/>
          <w:color w:val="5F5949"/>
          <w:spacing w:val="30"/>
          <w:sz w:val="17"/>
          <w:szCs w:val="17"/>
        </w:rPr>
        <w:t xml:space="preserve">VOICEOVER</w:t>
      </w:r>
    </w:p>
    <w:p>
      <w:pPr>
        <w:spacing w:after="22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HomeEstimator.ai. Backed by a three-day money-back guarantee. Start bidding like the job's already yours.</w:t>
      </w:r>
    </w:p>
    <w:p>
      <w:pPr>
        <w:pStyle w:val="Heading1"/>
        <w:spacing w:after="120" w:before="360"/>
      </w:pPr>
      <w:r>
        <w:rPr>
          <w:b/>
          <w:bCs/>
          <w:color w:val="1A1A1A"/>
        </w:rPr>
        <w:t xml:space="preserve">Style block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Minimal, clean styled visuals. Deep black #1A1A1A / #0A0A0A with gold #D4AF37 / #C9A84C and light gold #F9E076. Motion graphics carry the B-roll and the A-roll overlays. AI video where it earns its place; stock only where real-world footage is required. Intro and outro sequences plus chapter breaks are motion graphics — gold accent sweeps at each scene seam from Scene 3 onward.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logo lockup sits bottom-left and holds for the full sixty seconds, across every scene.</w:t>
      </w:r>
    </w:p>
    <w:p>
      <w:pPr>
        <w:pStyle w:val="Heading1"/>
        <w:spacing w:after="120" w:before="360"/>
      </w:pPr>
      <w:r>
        <w:rPr>
          <w:b/>
          <w:bCs/>
          <w:color w:val="1A1A1A"/>
        </w:rPr>
        <w:t xml:space="preserve">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Logo asset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Transparent_Background.png not supplied. Brand rule is the transparent logo blended bottom-left on EVERY scene, not the outro alone. A CSS stand-in currently holds the position and scale.</w:t>
            </w:r>
          </w:p>
        </w:tc>
      </w:tr>
      <w:tr>
        <w:tc>
          <w:tcPr>
            <w:tcW w:type="dxa" w:w="22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A-roll footage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Scenes 1, 3 and 6 are timed placeholders carrying their VO lines. Swap for the avatar renders when they exist.</w:t>
            </w:r>
          </w:p>
        </w:tc>
      </w:tr>
      <w:tr>
        <w:tc>
          <w:tcPr>
            <w:tcW w:type="dxa" w:w="22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Scene 2 stock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Kitchen-table shot still to be sourced.</w:t>
            </w:r>
          </w:p>
        </w:tc>
      </w:tr>
      <w:tr>
        <w:tc>
          <w:tcPr>
            <w:tcW w:type="dxa" w:w="2200"/>
            <w:shd w:fill="F5F1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Scene 5 total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on-screen figure is sample data for the mock proposal, not a product claim. Replace with the client's own sample before release.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A1A1A"/>
        </w:rPr>
        <w:t xml:space="preserve">Brand compliance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Checked against the HomeEstimator.ai brand rules. Palette is limited to the approved deep black and gold. The CTA is the 3-day money-back guarantee. The proof point is 23+ years of field data, deliberately rotated away from the variance and awards figures so the piece does not read as a spec sheet. Brand name is typeset exactly as HomeEstimator.ai; the lowercase form appears only where it reads as a URL. No “free” language anywhere. No WA Construct reference of any kind.</w:t>
      </w:r>
    </w:p>
    <w:p>
      <w:pPr>
        <w:spacing w:after="140" w:before="0"/>
      </w:pPr>
      <w:r>
        <w:rPr>
          <w:b w:val="false"/>
          <w:bCs w:val="false"/>
          <w:i/>
          <w:iCs/>
          <w:color w:val="5F5949"/>
          <w:sz w:val="22"/>
          <w:szCs w:val="22"/>
        </w:rPr>
        <w:t xml:space="preserve">One correction against the submitted draft: the logo was scoped to Scene 7 only. It now runs across all seven scenes, per the rule that it appears on every creative.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qFormat/>
    <w:rPr>
      <w:rFonts w:ascii="Georgia" w:cs="Georgia" w:eastAsia="Georgia" w:hAnsi="Georgia"/>
      <w:b/>
      <w:bCs/>
      <w:color w:val="1A1A1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2026-08-13T17:08:47.716Z</dcterms:created>
  <dcterms:modified xsi:type="dcterms:W3CDTF">2026-08-13T17:08:47.716Z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