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rFonts w:ascii="Helvetica" w:hAnsi="Helvetica"/>
          <w:b/>
          <w:sz w:val="36"/>
        </w:rPr>
      </w:pPr>
      <w:r>
        <w:rPr>
          <w:rFonts w:ascii="Helvetica" w:hAnsi="Helvetica"/>
          <w:b/>
          <w:sz w:val="36"/>
        </w:rPr>
        <w:t>BLACKWOOD CAPITAL</w:t>
      </w:r>
    </w:p>
    <w:p>
      <w:pPr>
        <w:pStyle w:val="Normal"/>
        <w:bidi w:val="0"/>
        <w:jc w:val="center"/>
        <w:rPr>
          <w:rFonts w:ascii="Helvetica" w:hAnsi="Helvetica"/>
          <w:b w:val="false"/>
          <w:sz w:val="28"/>
        </w:rPr>
      </w:pPr>
      <w:r>
        <w:rPr>
          <w:rFonts w:ascii="Helvetica" w:hAnsi="Helvetica"/>
          <w:b/>
          <w:sz w:val="36"/>
        </w:rPr>
        <w:t>Credit Opportunities III</w:t>
      </w:r>
    </w:p>
    <w:p>
      <w:pPr>
        <w:pStyle w:val="Normal"/>
        <w:bidi w:val="0"/>
        <w:jc w:val="center"/>
        <w:rPr>
          <w:rFonts w:ascii="Helvetica" w:hAnsi="Helvetica"/>
          <w:b w:val="false"/>
          <w:sz w:val="28"/>
        </w:rPr>
      </w:pPr>
      <w:r>
        <w:rPr>
          <w:rFonts w:ascii="Helvetica" w:hAnsi="Helvetica"/>
          <w:b w:val="false"/>
          <w:sz w:val="28"/>
        </w:rPr>
      </w:r>
    </w:p>
    <w:p>
      <w:pPr>
        <w:pStyle w:val="Normal"/>
        <w:bidi w:val="0"/>
        <w:jc w:val="start"/>
        <w:rPr>
          <w:rFonts w:ascii="Helvetica" w:hAnsi="Helvetica"/>
          <w:b w:val="false"/>
          <w:sz w:val="28"/>
        </w:rPr>
      </w:pPr>
      <w:r>
        <w:rPr>
          <w:rFonts w:ascii="Helvetica" w:hAnsi="Helvetica"/>
          <w:b/>
          <w:sz w:val="28"/>
        </w:rPr>
        <w:t>Strategy</w:t>
      </w:r>
    </w:p>
    <w:p>
      <w:pPr>
        <w:pStyle w:val="Normal"/>
        <w:bidi w:val="0"/>
        <w:jc w:val="start"/>
        <w:rPr>
          <w:rFonts w:ascii="Helvetica" w:hAnsi="Helvetica"/>
          <w:b w:val="false"/>
          <w:sz w:val="28"/>
        </w:rPr>
      </w:pPr>
      <w:r>
        <w:rPr>
          <w:rFonts w:ascii="Helvetica" w:hAnsi="Helvetica"/>
          <w:b w:val="false"/>
          <w:sz w:val="28"/>
        </w:rPr>
        <w:t>Distressed and special situations credit across North America and Europe; capital structure arbitrage and post-reorg equities opportunistically.</w:t>
      </w:r>
    </w:p>
    <w:p>
      <w:pPr>
        <w:pStyle w:val="Normal"/>
        <w:bidi w:val="0"/>
        <w:jc w:val="start"/>
        <w:rPr>
          <w:rFonts w:ascii="Helvetica" w:hAnsi="Helvetica"/>
          <w:b w:val="false"/>
          <w:sz w:val="28"/>
        </w:rPr>
      </w:pPr>
      <w:r>
        <w:rPr>
          <w:rFonts w:ascii="Helvetica" w:hAnsi="Helvetica"/>
          <w:b w:val="false"/>
          <w:sz w:val="28"/>
        </w:rPr>
      </w:r>
    </w:p>
    <w:p>
      <w:pPr>
        <w:pStyle w:val="Normal"/>
        <w:bidi w:val="0"/>
        <w:jc w:val="start"/>
        <w:rPr>
          <w:rFonts w:ascii="Helvetica" w:hAnsi="Helvetica"/>
          <w:b w:val="false"/>
          <w:sz w:val="28"/>
        </w:rPr>
      </w:pPr>
      <w:r>
        <w:rPr>
          <w:rFonts w:ascii="Helvetica" w:hAnsi="Helvetica"/>
          <w:b/>
          <w:sz w:val="28"/>
        </w:rPr>
        <w:t>Firm</w:t>
      </w:r>
    </w:p>
    <w:p>
      <w:pPr>
        <w:pStyle w:val="Normal"/>
        <w:bidi w:val="0"/>
        <w:jc w:val="start"/>
        <w:rPr>
          <w:rFonts w:ascii="Helvetica" w:hAnsi="Helvetica"/>
          <w:b w:val="false"/>
          <w:sz w:val="28"/>
        </w:rPr>
      </w:pPr>
      <w:r>
        <w:rPr>
          <w:rFonts w:ascii="Helvetica" w:hAnsi="Helvetica"/>
          <w:b w:val="false"/>
          <w:sz w:val="28"/>
        </w:rPr>
        <w:t>Founded 2014. AUM $2.1bn. 12 investment professionals. New York.</w:t>
      </w:r>
    </w:p>
    <w:p>
      <w:pPr>
        <w:pStyle w:val="Normal"/>
        <w:bidi w:val="0"/>
        <w:jc w:val="start"/>
        <w:rPr>
          <w:rFonts w:ascii="Helvetica" w:hAnsi="Helvetica"/>
          <w:b w:val="false"/>
          <w:sz w:val="28"/>
        </w:rPr>
      </w:pPr>
      <w:r>
        <w:rPr>
          <w:rFonts w:ascii="Helvetica" w:hAnsi="Helvetica"/>
          <w:b w:val="false"/>
          <w:sz w:val="28"/>
        </w:rPr>
      </w:r>
    </w:p>
    <w:p>
      <w:pPr>
        <w:pStyle w:val="Normal"/>
        <w:bidi w:val="0"/>
        <w:jc w:val="start"/>
        <w:rPr>
          <w:rFonts w:ascii="Helvetica" w:hAnsi="Helvetica"/>
          <w:b w:val="false"/>
          <w:sz w:val="28"/>
        </w:rPr>
      </w:pPr>
      <w:r>
        <w:rPr>
          <w:rFonts w:ascii="Helvetica" w:hAnsi="Helvetica"/>
          <w:b/>
          <w:sz w:val="28"/>
        </w:rPr>
        <w:t>Terms</w:t>
      </w:r>
    </w:p>
    <w:p>
      <w:pPr>
        <w:pStyle w:val="Normal"/>
        <w:bidi w:val="0"/>
        <w:jc w:val="start"/>
        <w:rPr>
          <w:rFonts w:ascii="Helvetica" w:hAnsi="Helvetica"/>
          <w:b w:val="false"/>
          <w:sz w:val="28"/>
        </w:rPr>
      </w:pPr>
      <w:r>
        <w:rPr>
          <w:rFonts w:ascii="Helvetica" w:hAnsi="Helvetica"/>
          <w:b w:val="false"/>
          <w:sz w:val="28"/>
        </w:rPr>
        <w:t>Fee 1.75% / 20% over SOFR. Quarterly liquidity, 90 days notice, 2-year soft lock.</w:t>
      </w:r>
    </w:p>
    <w:p>
      <w:pPr>
        <w:pStyle w:val="Normal"/>
        <w:bidi w:val="0"/>
        <w:jc w:val="start"/>
        <w:rPr>
          <w:rFonts w:ascii="Helvetica" w:hAnsi="Helvetica"/>
          <w:b w:val="false"/>
          <w:sz w:val="28"/>
        </w:rPr>
      </w:pPr>
      <w:r>
        <w:rPr>
          <w:rFonts w:ascii="Helvetica" w:hAnsi="Helvetica"/>
          <w:b w:val="false"/>
          <w:sz w:val="28"/>
        </w:rPr>
      </w:r>
    </w:p>
    <w:p>
      <w:pPr>
        <w:pStyle w:val="Normal"/>
        <w:bidi w:val="0"/>
        <w:jc w:val="start"/>
        <w:rPr>
          <w:rFonts w:ascii="Helvetica" w:hAnsi="Helvetica"/>
          <w:b w:val="false"/>
          <w:sz w:val="28"/>
        </w:rPr>
      </w:pPr>
      <w:r>
        <w:rPr>
          <w:rFonts w:ascii="Helvetica" w:hAnsi="Helvetica"/>
          <w:b/>
          <w:sz w:val="28"/>
        </w:rPr>
        <w:t>Ask</w:t>
      </w:r>
    </w:p>
    <w:p>
      <w:pPr>
        <w:pStyle w:val="Normal"/>
        <w:bidi w:val="0"/>
        <w:jc w:val="start"/>
        <w:rPr>
          <w:rFonts w:ascii="Helvetica" w:hAnsi="Helvetica"/>
          <w:b w:val="false"/>
          <w:sz w:val="28"/>
        </w:rPr>
      </w:pPr>
      <w:r>
        <w:rPr>
          <w:rFonts w:ascii="Helvetica" w:hAnsi="Helvetica"/>
          <w:b w:val="false"/>
          <w:sz w:val="28"/>
        </w:rPr>
        <w:t>$75mm allocation for the IC's consideration; one-pager for initial discussion.</w: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iso-8859-1"/>
    <w:family w:val="roman"/>
    <w:pitch w:val="variable"/>
  </w:font>
  <w:font w:name="Liberation Sans">
    <w:altName w:val="Arial"/>
    <w:charset w:val="00" w:characterSet="iso-8859-1"/>
    <w:family w:val="swiss"/>
    <w:pitch w:val="variable"/>
  </w:font>
  <w:font w:name="Helvetica">
    <w:altName w:val="Arial"/>
    <w:charset w:val="00" w:characterSet="iso-8859-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WenQuanYi Zen Hei" w:cs="Free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