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Helvetica" w:hAnsi="Helvetica"/>
          <w:b/>
          <w:sz w:val="32"/>
        </w:rPr>
      </w:pPr>
      <w:r>
        <w:rPr>
          <w:rFonts w:ascii="Helvetica" w:hAnsi="Helvetica"/>
          <w:b/>
          <w:sz w:val="32"/>
        </w:rPr>
        <w:t>HALCYON RIDGE CAPITAL</w:t>
      </w:r>
    </w:p>
    <w:p>
      <w:pPr>
        <w:pStyle w:val="Normal"/>
        <w:bidi w:val="0"/>
        <w:jc w:val="center"/>
        <w:rPr>
          <w:rFonts w:ascii="Helvetica" w:hAnsi="Helvetica"/>
          <w:b w:val="false"/>
          <w:sz w:val="26"/>
        </w:rPr>
      </w:pPr>
      <w:r>
        <w:rPr>
          <w:rFonts w:ascii="Helvetica" w:hAnsi="Helvetica"/>
          <w:b/>
          <w:sz w:val="32"/>
        </w:rPr>
        <w:t>DUE DILIGENCE QUESTIONNAIRE</w:t>
      </w:r>
    </w:p>
    <w:p>
      <w:pPr>
        <w:pStyle w:val="Normal"/>
        <w:bidi w:val="0"/>
        <w:jc w:val="center"/>
        <w:rPr>
          <w:rFonts w:ascii="Helvetica" w:hAnsi="Helvetica"/>
          <w:b w:val="false"/>
          <w:sz w:val="26"/>
        </w:rPr>
      </w:pPr>
      <w:r>
        <w:rPr>
          <w:rFonts w:ascii="Helvetica" w:hAnsi="Helvetica"/>
          <w:b w:val="false"/>
          <w:sz w:val="26"/>
        </w:rPr>
      </w:r>
    </w:p>
    <w:p>
      <w:pPr>
        <w:pStyle w:val="Normal"/>
        <w:bidi w:val="0"/>
        <w:jc w:val="start"/>
        <w:rPr>
          <w:rFonts w:ascii="Helvetica" w:hAnsi="Helvetica"/>
          <w:b w:val="false"/>
          <w:sz w:val="26"/>
        </w:rPr>
      </w:pPr>
      <w:r>
        <w:rPr>
          <w:rFonts w:ascii="Helvetica" w:hAnsi="Helvetica"/>
          <w:b/>
          <w:sz w:val="26"/>
        </w:rPr>
        <w:t>1. Firm</w:t>
      </w:r>
    </w:p>
    <w:p>
      <w:pPr>
        <w:pStyle w:val="Normal"/>
        <w:bidi w:val="0"/>
        <w:jc w:val="start"/>
        <w:rPr>
          <w:rFonts w:ascii="Helvetica" w:hAnsi="Helvetica"/>
          <w:b w:val="false"/>
          <w:sz w:val="26"/>
        </w:rPr>
      </w:pPr>
      <w:r>
        <w:rPr>
          <w:rFonts w:ascii="Helvetica" w:hAnsi="Helvetica"/>
          <w:b w:val="false"/>
          <w:sz w:val="26"/>
        </w:rPr>
        <w:t>1.1 Firm AUM: $1.9bn. Founded 2016. Offices: New York, Singapore.</w:t>
      </w:r>
    </w:p>
    <w:p>
      <w:pPr>
        <w:pStyle w:val="Normal"/>
        <w:bidi w:val="0"/>
        <w:jc w:val="start"/>
        <w:rPr>
          <w:rFonts w:ascii="Helvetica" w:hAnsi="Helvetica"/>
          <w:b w:val="false"/>
          <w:sz w:val="26"/>
        </w:rPr>
      </w:pPr>
      <w:r>
        <w:rPr>
          <w:rFonts w:ascii="Helvetica" w:hAnsi="Helvetica"/>
          <w:b w:val="false"/>
          <w:sz w:val="26"/>
        </w:rPr>
        <w:t>1.2 Ownership: 100% owned by founder Marcus Hale.</w:t>
      </w:r>
    </w:p>
    <w:p>
      <w:pPr>
        <w:pStyle w:val="Normal"/>
        <w:bidi w:val="0"/>
        <w:jc w:val="start"/>
        <w:rPr>
          <w:rFonts w:ascii="Helvetica" w:hAnsi="Helvetica"/>
          <w:b w:val="false"/>
          <w:sz w:val="26"/>
        </w:rPr>
      </w:pPr>
      <w:r>
        <w:rPr>
          <w:rFonts w:ascii="Helvetica" w:hAnsi="Helvetica"/>
          <w:b w:val="false"/>
          <w:sz w:val="26"/>
        </w:rPr>
      </w:r>
    </w:p>
    <w:p>
      <w:pPr>
        <w:pStyle w:val="Normal"/>
        <w:bidi w:val="0"/>
        <w:jc w:val="start"/>
        <w:rPr>
          <w:rFonts w:ascii="Helvetica" w:hAnsi="Helvetica"/>
          <w:b w:val="false"/>
          <w:sz w:val="26"/>
        </w:rPr>
      </w:pPr>
      <w:r>
        <w:rPr>
          <w:rFonts w:ascii="Helvetica" w:hAnsi="Helvetica"/>
          <w:b/>
          <w:sz w:val="26"/>
        </w:rPr>
        <w:t>2. Service Providers</w:t>
      </w:r>
    </w:p>
    <w:p>
      <w:pPr>
        <w:pStyle w:val="Normal"/>
        <w:bidi w:val="0"/>
        <w:jc w:val="start"/>
        <w:rPr>
          <w:rFonts w:ascii="Helvetica" w:hAnsi="Helvetica"/>
          <w:b w:val="false"/>
          <w:sz w:val="26"/>
        </w:rPr>
      </w:pPr>
      <w:r>
        <w:rPr>
          <w:rFonts w:ascii="Helvetica" w:hAnsi="Helvetica"/>
          <w:b w:val="false"/>
          <w:sz w:val="26"/>
        </w:rPr>
        <w:t>2.1 Administrator: Halcyon Ridge Fund Services LLC, an affiliate of the Investment Manager, performs NAV calculation and investor services.</w:t>
      </w:r>
    </w:p>
    <w:p>
      <w:pPr>
        <w:pStyle w:val="Normal"/>
        <w:bidi w:val="0"/>
        <w:jc w:val="start"/>
        <w:rPr>
          <w:rFonts w:ascii="Helvetica" w:hAnsi="Helvetica"/>
          <w:b w:val="false"/>
          <w:sz w:val="26"/>
        </w:rPr>
      </w:pPr>
      <w:r>
        <w:rPr>
          <w:rFonts w:ascii="Helvetica" w:hAnsi="Helvetica"/>
          <w:b w:val="false"/>
          <w:sz w:val="26"/>
        </w:rPr>
        <w:t>2.2 Auditor: Chapman &amp; Wills LLP (regional firm, engaged 2024; previous auditor resigned).</w:t>
      </w:r>
    </w:p>
    <w:p>
      <w:pPr>
        <w:pStyle w:val="Normal"/>
        <w:bidi w:val="0"/>
        <w:jc w:val="start"/>
        <w:rPr>
          <w:rFonts w:ascii="Helvetica" w:hAnsi="Helvetica"/>
          <w:b w:val="false"/>
          <w:sz w:val="26"/>
        </w:rPr>
      </w:pPr>
      <w:r>
        <w:rPr>
          <w:rFonts w:ascii="Helvetica" w:hAnsi="Helvetica"/>
          <w:b w:val="false"/>
          <w:sz w:val="26"/>
        </w:rPr>
        <w:t>2.3 Prime Brokers: two global banks.</w:t>
      </w:r>
    </w:p>
    <w:p>
      <w:pPr>
        <w:pStyle w:val="Normal"/>
        <w:bidi w:val="0"/>
        <w:jc w:val="start"/>
        <w:rPr>
          <w:rFonts w:ascii="Helvetica" w:hAnsi="Helvetica"/>
          <w:b w:val="false"/>
          <w:sz w:val="26"/>
        </w:rPr>
      </w:pPr>
      <w:r>
        <w:rPr>
          <w:rFonts w:ascii="Helvetica" w:hAnsi="Helvetica"/>
          <w:b w:val="false"/>
          <w:sz w:val="26"/>
        </w:rPr>
      </w:r>
    </w:p>
    <w:p>
      <w:pPr>
        <w:pStyle w:val="Normal"/>
        <w:bidi w:val="0"/>
        <w:jc w:val="start"/>
        <w:rPr>
          <w:rFonts w:ascii="Helvetica" w:hAnsi="Helvetica"/>
          <w:b w:val="false"/>
          <w:sz w:val="26"/>
        </w:rPr>
      </w:pPr>
      <w:r>
        <w:rPr>
          <w:rFonts w:ascii="Helvetica" w:hAnsi="Helvetica"/>
          <w:b/>
          <w:sz w:val="26"/>
        </w:rPr>
        <w:t>3. Valuation</w:t>
      </w:r>
    </w:p>
    <w:p>
      <w:pPr>
        <w:pStyle w:val="Normal"/>
        <w:bidi w:val="0"/>
        <w:jc w:val="start"/>
        <w:rPr>
          <w:rFonts w:ascii="Helvetica" w:hAnsi="Helvetica"/>
          <w:b w:val="false"/>
          <w:sz w:val="26"/>
        </w:rPr>
      </w:pPr>
      <w:r>
        <w:rPr>
          <w:rFonts w:ascii="Helvetica" w:hAnsi="Helvetica"/>
          <w:b w:val="false"/>
          <w:sz w:val="26"/>
        </w:rPr>
        <w:t>3.1 Liquid instruments are marked from broker quotes. Less liquid positions (approximately 12% of NAV) are valued by the Investment Manager using internal models, reviewed quarterly by the CIO.</w:t>
      </w:r>
    </w:p>
    <w:p>
      <w:pPr>
        <w:pStyle w:val="Normal"/>
        <w:bidi w:val="0"/>
        <w:jc w:val="start"/>
        <w:rPr>
          <w:rFonts w:ascii="Helvetica" w:hAnsi="Helvetica"/>
          <w:b w:val="false"/>
          <w:sz w:val="26"/>
        </w:rPr>
      </w:pPr>
      <w:r>
        <w:rPr>
          <w:rFonts w:ascii="Helvetica" w:hAnsi="Helvetica"/>
          <w:b w:val="false"/>
          <w:sz w:val="26"/>
        </w:rPr>
      </w:r>
    </w:p>
    <w:p>
      <w:pPr>
        <w:pStyle w:val="Normal"/>
        <w:bidi w:val="0"/>
        <w:jc w:val="start"/>
        <w:rPr>
          <w:rFonts w:ascii="Helvetica" w:hAnsi="Helvetica"/>
          <w:b w:val="false"/>
          <w:sz w:val="26"/>
        </w:rPr>
      </w:pPr>
      <w:r>
        <w:rPr>
          <w:rFonts w:ascii="Helvetica" w:hAnsi="Helvetica"/>
          <w:b/>
          <w:sz w:val="26"/>
        </w:rPr>
        <w:t>4. Compliance</w:t>
      </w:r>
    </w:p>
    <w:p>
      <w:pPr>
        <w:pStyle w:val="Normal"/>
        <w:bidi w:val="0"/>
        <w:jc w:val="start"/>
        <w:rPr>
          <w:rFonts w:ascii="Helvetica" w:hAnsi="Helvetica"/>
          <w:b w:val="false"/>
          <w:sz w:val="26"/>
        </w:rPr>
      </w:pPr>
      <w:r>
        <w:rPr>
          <w:rFonts w:ascii="Helvetica" w:hAnsi="Helvetica"/>
          <w:b w:val="false"/>
          <w:sz w:val="26"/>
        </w:rPr>
        <w:t>4.1 The firm is a registered investment adviser. The compliance officer also serves as CFO and head of operations.</w:t>
      </w:r>
    </w:p>
    <w:p>
      <w:pPr>
        <w:pStyle w:val="Normal"/>
        <w:bidi w:val="0"/>
        <w:jc w:val="start"/>
        <w:rPr>
          <w:rFonts w:ascii="Helvetica" w:hAnsi="Helvetica"/>
          <w:b w:val="false"/>
          <w:sz w:val="26"/>
        </w:rPr>
      </w:pPr>
      <w:r>
        <w:rPr>
          <w:rFonts w:ascii="Helvetica" w:hAnsi="Helvetica"/>
          <w:b w:val="false"/>
          <w:sz w:val="26"/>
        </w:rPr>
        <w:t>4.2 Regulatory matters: an SEC examination concluded in 2025 with a deficiency letter relating to expense allocations; remediation is described as in progress.</w:t>
      </w:r>
    </w:p>
    <w:p>
      <w:pPr>
        <w:pStyle w:val="Normal"/>
        <w:bidi w:val="0"/>
        <w:jc w:val="start"/>
        <w:rPr>
          <w:rFonts w:ascii="Helvetica" w:hAnsi="Helvetica"/>
          <w:b w:val="false"/>
          <w:sz w:val="26"/>
        </w:rPr>
      </w:pPr>
      <w:r>
        <w:rPr>
          <w:rFonts w:ascii="Helvetica" w:hAnsi="Helvetica"/>
          <w:b w:val="false"/>
          <w:sz w:val="26"/>
        </w:rPr>
        <w:t>4.3 Personal trading: employees may trade single-name securities with pre-clearance from the CIO.</w:t>
      </w:r>
    </w:p>
    <w:p>
      <w:pPr>
        <w:pStyle w:val="Normal"/>
        <w:bidi w:val="0"/>
        <w:jc w:val="start"/>
        <w:rPr>
          <w:rFonts w:ascii="Helvetica" w:hAnsi="Helvetica"/>
          <w:b w:val="false"/>
          <w:sz w:val="26"/>
        </w:rPr>
      </w:pPr>
      <w:r>
        <w:rPr>
          <w:rFonts w:ascii="Helvetica" w:hAnsi="Helvetica"/>
          <w:b w:val="false"/>
          <w:sz w:val="26"/>
        </w:rPr>
      </w:r>
    </w:p>
    <w:p>
      <w:pPr>
        <w:pStyle w:val="Normal"/>
        <w:bidi w:val="0"/>
        <w:jc w:val="start"/>
        <w:rPr>
          <w:rFonts w:ascii="Helvetica" w:hAnsi="Helvetica"/>
          <w:b w:val="false"/>
          <w:sz w:val="26"/>
        </w:rPr>
      </w:pPr>
      <w:r>
        <w:rPr>
          <w:rFonts w:ascii="Helvetica" w:hAnsi="Helvetica"/>
          <w:b/>
          <w:sz w:val="26"/>
        </w:rPr>
        <w:t>5. Operations</w:t>
      </w:r>
    </w:p>
    <w:p>
      <w:pPr>
        <w:pStyle w:val="Normal"/>
        <w:bidi w:val="0"/>
        <w:jc w:val="start"/>
        <w:rPr>
          <w:rFonts w:ascii="Helvetica" w:hAnsi="Helvetica"/>
          <w:b w:val="false"/>
          <w:sz w:val="26"/>
        </w:rPr>
      </w:pPr>
      <w:r>
        <w:rPr>
          <w:rFonts w:ascii="Helvetica" w:hAnsi="Helvetica"/>
          <w:b w:val="false"/>
          <w:sz w:val="26"/>
        </w:rPr>
        <w:t>5.1 Cash movements require a single authorized signatory for amounts under $5 million.</w:t>
      </w:r>
    </w:p>
    <w:p>
      <w:pPr>
        <w:pStyle w:val="Normal"/>
        <w:bidi w:val="0"/>
        <w:jc w:val="start"/>
        <w:rPr>
          <w:rFonts w:ascii="Helvetica" w:hAnsi="Helvetica"/>
          <w:b w:val="false"/>
          <w:sz w:val="26"/>
        </w:rPr>
      </w:pPr>
      <w:r>
        <w:rPr>
          <w:rFonts w:ascii="Helvetica" w:hAnsi="Helvetica"/>
          <w:b w:val="false"/>
          <w:sz w:val="26"/>
        </w:rPr>
        <w:t>5.2 Business continuity: plan last tested in 2022.</w:t>
      </w:r>
    </w:p>
    <w:p>
      <w:pPr>
        <w:pStyle w:val="Normal"/>
        <w:bidi w:val="0"/>
        <w:jc w:val="start"/>
        <w:rPr>
          <w:rFonts w:ascii="Helvetica" w:hAnsi="Helvetica"/>
          <w:b w:val="false"/>
          <w:sz w:val="26"/>
        </w:rPr>
      </w:pPr>
      <w:r>
        <w:rPr>
          <w:rFonts w:ascii="Helvetica" w:hAnsi="Helvetica"/>
          <w:b w:val="false"/>
          <w:sz w:val="26"/>
        </w:rPr>
        <w:t>5.3 Cybersecurity: annual phishing training; no independent penetration test conducted to date.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Helvetica">
    <w:altName w:val="Arial"/>
    <w:charset w:val="00" w:characterSet="iso-8859-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