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rFonts w:ascii="Times New Roman" w:hAnsi="Times New Roman"/>
          <w:b/>
          <w:sz w:val="34"/>
        </w:rPr>
      </w:pPr>
      <w:r>
        <w:rPr>
          <w:rFonts w:ascii="Times New Roman" w:hAnsi="Times New Roman"/>
          <w:b/>
          <w:sz w:val="34"/>
        </w:rPr>
        <w:t>HALCYON RIDGE MACRO FUND LP</w:t>
      </w:r>
    </w:p>
    <w:p>
      <w:pPr>
        <w:pStyle w:val="Normal"/>
        <w:bidi w:val="0"/>
        <w:jc w:val="center"/>
        <w:rPr>
          <w:rFonts w:ascii="Times New Roman" w:hAnsi="Times New Roman"/>
          <w:b w:val="false"/>
          <w:sz w:val="28"/>
        </w:rPr>
      </w:pPr>
      <w:r>
        <w:rPr>
          <w:rFonts w:ascii="Times New Roman" w:hAnsi="Times New Roman"/>
          <w:b/>
          <w:sz w:val="34"/>
        </w:rPr>
        <w:t>AMENDED AND RESTATED LIMITED PARTNERSHIP AGREEMENT</w:t>
      </w:r>
    </w:p>
    <w:p>
      <w:pPr>
        <w:pStyle w:val="Normal"/>
        <w:bidi w:val="0"/>
        <w:jc w:val="center"/>
        <w:rPr>
          <w:rFonts w:ascii="Times New Roman" w:hAnsi="Times New Roman"/>
          <w:b w:val="false"/>
          <w:sz w:val="28"/>
        </w:rPr>
      </w:pPr>
      <w:r>
        <w:rPr>
          <w:rFonts w:ascii="Times New Roman" w:hAnsi="Times New Roman"/>
          <w:b w:val="false"/>
          <w:sz w:val="28"/>
        </w:rPr>
      </w:r>
    </w:p>
    <w:p>
      <w:pPr>
        <w:pStyle w:val="Normal"/>
        <w:bidi w:val="0"/>
        <w:jc w:val="center"/>
        <w:rPr>
          <w:rFonts w:ascii="Times New Roman" w:hAnsi="Times New Roman"/>
          <w:sz w:val="28"/>
        </w:rPr>
      </w:pPr>
      <w:r>
        <w:rPr>
          <w:rFonts w:ascii="Times New Roman" w:hAnsi="Times New Roman"/>
          <w:sz w:val="28"/>
        </w:rPr>
        <w:t>Dated as of March 1, 2026</w:t>
      </w:r>
    </w:p>
    <w:p>
      <w:pPr>
        <w:pStyle w:val="Normal"/>
        <w:bidi w:val="0"/>
        <w:jc w:val="start"/>
        <w:rPr>
          <w:rFonts w:ascii="Times New Roman" w:hAnsi="Times New Roman"/>
          <w:sz w:val="28"/>
        </w:rPr>
      </w:pPr>
      <w:r>
        <w:rPr>
          <w:rFonts w:ascii="Times New Roman" w:hAnsi="Times New Roman"/>
          <w:sz w:val="28"/>
        </w:rPr>
      </w:r>
    </w:p>
    <w:p>
      <w:pPr>
        <w:pStyle w:val="Normal"/>
        <w:bidi w:val="0"/>
        <w:jc w:val="start"/>
        <w:rPr>
          <w:rFonts w:ascii="Times New Roman" w:hAnsi="Times New Roman"/>
          <w:b w:val="false"/>
          <w:sz w:val="28"/>
        </w:rPr>
      </w:pPr>
      <w:r>
        <w:rPr>
          <w:rFonts w:ascii="Times New Roman" w:hAnsi="Times New Roman"/>
          <w:b/>
          <w:sz w:val="28"/>
        </w:rPr>
        <w:t>ARTICLE I â€” ORGANIZATION</w:t>
      </w:r>
    </w:p>
    <w:p>
      <w:pPr>
        <w:pStyle w:val="Normal"/>
        <w:bidi w:val="0"/>
        <w:jc w:val="start"/>
        <w:rPr>
          <w:rFonts w:ascii="Times New Roman" w:hAnsi="Times New Roman"/>
          <w:b w:val="false"/>
          <w:sz w:val="28"/>
        </w:rPr>
      </w:pPr>
      <w:r>
        <w:rPr>
          <w:rFonts w:ascii="Times New Roman" w:hAnsi="Times New Roman"/>
          <w:b w:val="false"/>
          <w:sz w:val="28"/>
        </w:rPr>
        <w:t>Section 1.1 Formation. Halcyon Ridge Macro Fund LP (the "Fund") is a Cayman Islands exempted limited partnership. The general partner is Halcyon Ridge GP Ltd. (the "General Partner").</w:t>
      </w:r>
    </w:p>
    <w:p>
      <w:pPr>
        <w:pStyle w:val="Normal"/>
        <w:bidi w:val="0"/>
        <w:jc w:val="start"/>
        <w:rPr>
          <w:rFonts w:ascii="Times New Roman" w:hAnsi="Times New Roman"/>
          <w:b w:val="false"/>
          <w:sz w:val="28"/>
        </w:rPr>
      </w:pPr>
      <w:r>
        <w:rPr>
          <w:rFonts w:ascii="Times New Roman" w:hAnsi="Times New Roman"/>
          <w:b w:val="false"/>
          <w:sz w:val="28"/>
        </w:rPr>
      </w:r>
    </w:p>
    <w:p>
      <w:pPr>
        <w:pStyle w:val="Normal"/>
        <w:bidi w:val="0"/>
        <w:jc w:val="start"/>
        <w:rPr>
          <w:rFonts w:ascii="Times New Roman" w:hAnsi="Times New Roman"/>
          <w:b w:val="false"/>
          <w:sz w:val="28"/>
        </w:rPr>
      </w:pPr>
      <w:r>
        <w:rPr>
          <w:rFonts w:ascii="Times New Roman" w:hAnsi="Times New Roman"/>
          <w:b/>
          <w:sz w:val="28"/>
        </w:rPr>
        <w:t>ARTICLE III â€” FEES AND EXPENSES</w:t>
      </w:r>
    </w:p>
    <w:p>
      <w:pPr>
        <w:pStyle w:val="Normal"/>
        <w:bidi w:val="0"/>
        <w:jc w:val="start"/>
        <w:rPr>
          <w:rFonts w:ascii="Times New Roman" w:hAnsi="Times New Roman"/>
          <w:b w:val="false"/>
          <w:sz w:val="28"/>
        </w:rPr>
      </w:pPr>
      <w:r>
        <w:rPr>
          <w:rFonts w:ascii="Times New Roman" w:hAnsi="Times New Roman"/>
          <w:b w:val="false"/>
          <w:sz w:val="28"/>
        </w:rPr>
        <w:t>Section 3.1 Management Fee. The Fund shall pay the Investment Manager a management fee equal to 2.5% per annum of the net asset value of the Fund, calculated and payable monthly in advance.</w:t>
      </w:r>
    </w:p>
    <w:p>
      <w:pPr>
        <w:pStyle w:val="Normal"/>
        <w:bidi w:val="0"/>
        <w:jc w:val="start"/>
        <w:rPr>
          <w:rFonts w:ascii="Times New Roman" w:hAnsi="Times New Roman"/>
          <w:b w:val="false"/>
          <w:sz w:val="28"/>
        </w:rPr>
      </w:pPr>
      <w:r>
        <w:rPr>
          <w:rFonts w:ascii="Times New Roman" w:hAnsi="Times New Roman"/>
          <w:b w:val="false"/>
          <w:sz w:val="28"/>
        </w:rPr>
        <w:t>Section 3.2 Incentive Allocation. At the end of each fiscal year, 25% of net realized and unrealized appreciation shall be reallocated to the General Partner, without reference to any hurdle or preferred return, subject to a loss carryforward that resets upon any redemption.</w:t>
      </w:r>
    </w:p>
    <w:p>
      <w:pPr>
        <w:pStyle w:val="Normal"/>
        <w:bidi w:val="0"/>
        <w:jc w:val="start"/>
        <w:rPr>
          <w:rFonts w:ascii="Times New Roman" w:hAnsi="Times New Roman"/>
          <w:b w:val="false"/>
          <w:sz w:val="28"/>
        </w:rPr>
      </w:pPr>
      <w:r>
        <w:rPr>
          <w:rFonts w:ascii="Times New Roman" w:hAnsi="Times New Roman"/>
          <w:b w:val="false"/>
          <w:sz w:val="28"/>
        </w:rPr>
        <w:t>Section 3.3 Expenses. The Fund shall bear all expenses of its operation, including the salaries and overhead of the Investment Manager's operations staff, travel (including private air travel where deemed appropriate by the General Partner), and placement fees payable to intermediaries.</w:t>
      </w:r>
      <w:r>
        <w:br w:type="page"/>
      </w:r>
    </w:p>
    <w:p>
      <w:pPr>
        <w:pStyle w:val="Normal"/>
        <w:bidi w:val="0"/>
        <w:jc w:val="start"/>
        <w:rPr>
          <w:rFonts w:ascii="Times New Roman" w:hAnsi="Times New Roman"/>
          <w:b w:val="false"/>
          <w:sz w:val="28"/>
        </w:rPr>
      </w:pPr>
      <w:r>
        <w:rPr>
          <w:rFonts w:ascii="Times New Roman" w:hAnsi="Times New Roman"/>
          <w:b/>
          <w:sz w:val="28"/>
        </w:rPr>
        <w:t>ARTICLE V â€” EXCULPATION AND INDEMNIFICATION</w:t>
      </w:r>
    </w:p>
    <w:p>
      <w:pPr>
        <w:pStyle w:val="Normal"/>
        <w:bidi w:val="0"/>
        <w:jc w:val="start"/>
        <w:rPr>
          <w:rFonts w:ascii="Times New Roman" w:hAnsi="Times New Roman"/>
          <w:b w:val="false"/>
          <w:sz w:val="28"/>
        </w:rPr>
      </w:pPr>
      <w:r>
        <w:rPr>
          <w:rFonts w:ascii="Times New Roman" w:hAnsi="Times New Roman"/>
          <w:b w:val="false"/>
          <w:sz w:val="28"/>
        </w:rPr>
        <w:t>Section 5.1 Exculpation. Neither the General Partner nor the Investment Manager shall be liable to the Fund or any Limited Partner for any act or omission, including acts constituting ordinary negligence, except in the case of actual fraud as finally determined by a court of competent jurisdiction.</w:t>
      </w:r>
    </w:p>
    <w:p>
      <w:pPr>
        <w:pStyle w:val="Normal"/>
        <w:bidi w:val="0"/>
        <w:jc w:val="start"/>
        <w:rPr>
          <w:rFonts w:ascii="Times New Roman" w:hAnsi="Times New Roman"/>
          <w:b w:val="false"/>
          <w:sz w:val="28"/>
        </w:rPr>
      </w:pPr>
      <w:r>
        <w:rPr>
          <w:rFonts w:ascii="Times New Roman" w:hAnsi="Times New Roman"/>
          <w:b w:val="false"/>
          <w:sz w:val="28"/>
        </w:rPr>
        <w:t>Section 5.2 Indemnification. The Fund shall indemnify the General Partner and its affiliates against all claims, including claims arising from breach of this Agreement, other than those resulting from actual fraud.</w:t>
      </w:r>
    </w:p>
    <w:p>
      <w:pPr>
        <w:pStyle w:val="Normal"/>
        <w:bidi w:val="0"/>
        <w:jc w:val="start"/>
        <w:rPr>
          <w:rFonts w:ascii="Times New Roman" w:hAnsi="Times New Roman"/>
          <w:b w:val="false"/>
          <w:sz w:val="28"/>
        </w:rPr>
      </w:pPr>
      <w:r>
        <w:rPr>
          <w:rFonts w:ascii="Times New Roman" w:hAnsi="Times New Roman"/>
          <w:b w:val="false"/>
          <w:sz w:val="28"/>
        </w:rPr>
      </w:r>
    </w:p>
    <w:p>
      <w:pPr>
        <w:pStyle w:val="Normal"/>
        <w:bidi w:val="0"/>
        <w:jc w:val="start"/>
        <w:rPr>
          <w:rFonts w:ascii="Times New Roman" w:hAnsi="Times New Roman"/>
          <w:b w:val="false"/>
          <w:sz w:val="28"/>
        </w:rPr>
      </w:pPr>
      <w:r>
        <w:rPr>
          <w:rFonts w:ascii="Times New Roman" w:hAnsi="Times New Roman"/>
          <w:b/>
          <w:sz w:val="28"/>
        </w:rPr>
        <w:t>ARTICLE VIII â€” WITHDRAWALS</w:t>
      </w:r>
    </w:p>
    <w:p>
      <w:pPr>
        <w:pStyle w:val="Normal"/>
        <w:bidi w:val="0"/>
        <w:jc w:val="start"/>
        <w:rPr>
          <w:rFonts w:ascii="Times New Roman" w:hAnsi="Times New Roman"/>
          <w:b w:val="false"/>
          <w:sz w:val="28"/>
        </w:rPr>
      </w:pPr>
      <w:r>
        <w:rPr>
          <w:rFonts w:ascii="Times New Roman" w:hAnsi="Times New Roman"/>
          <w:b w:val="false"/>
          <w:sz w:val="28"/>
        </w:rPr>
        <w:t>Section 8.1 Withdrawal Rights. A Limited Partner may withdraw as of the last day of each calendar quarter upon not less than 180 days prior written notice.</w:t>
      </w:r>
    </w:p>
    <w:p>
      <w:pPr>
        <w:pStyle w:val="Normal"/>
        <w:bidi w:val="0"/>
        <w:jc w:val="start"/>
        <w:rPr>
          <w:rFonts w:ascii="Times New Roman" w:hAnsi="Times New Roman"/>
          <w:b w:val="false"/>
          <w:sz w:val="28"/>
        </w:rPr>
      </w:pPr>
      <w:r>
        <w:rPr>
          <w:rFonts w:ascii="Times New Roman" w:hAnsi="Times New Roman"/>
          <w:b w:val="false"/>
          <w:sz w:val="28"/>
        </w:rPr>
        <w:t>Section 8.2 Gate. The General Partner may, in its sole and absolute discretion, limit aggregate withdrawals as of any withdrawal date to 10% of the net asset value of the Fund, with no obligation to satisfy deferred requests on any subsequent date.</w:t>
      </w:r>
    </w:p>
    <w:p>
      <w:pPr>
        <w:pStyle w:val="Normal"/>
        <w:bidi w:val="0"/>
        <w:jc w:val="start"/>
        <w:rPr>
          <w:rFonts w:ascii="Times New Roman" w:hAnsi="Times New Roman"/>
          <w:b w:val="false"/>
          <w:sz w:val="28"/>
        </w:rPr>
      </w:pPr>
      <w:r>
        <w:rPr>
          <w:rFonts w:ascii="Times New Roman" w:hAnsi="Times New Roman"/>
          <w:b w:val="false"/>
          <w:sz w:val="28"/>
        </w:rPr>
        <w:t>Section 8.3 Suspension. The General Partner may suspend withdrawals and the calculation of net asset value for any reason it deems appropriate, for an unlimited period.</w:t>
      </w:r>
    </w:p>
    <w:p>
      <w:pPr>
        <w:pStyle w:val="Normal"/>
        <w:bidi w:val="0"/>
        <w:jc w:val="start"/>
        <w:rPr>
          <w:rFonts w:ascii="Times New Roman" w:hAnsi="Times New Roman"/>
          <w:b w:val="false"/>
          <w:sz w:val="28"/>
        </w:rPr>
      </w:pPr>
      <w:r>
        <w:rPr>
          <w:rFonts w:ascii="Times New Roman" w:hAnsi="Times New Roman"/>
          <w:b w:val="false"/>
          <w:sz w:val="28"/>
        </w:rPr>
        <w:t>Section 8.4 In-Kind Distributions. Withdrawal proceeds may be paid in kind, including through interests in a liquidating vehicle with no stated term.</w:t>
      </w:r>
      <w:r>
        <w:br w:type="page"/>
      </w:r>
    </w:p>
    <w:p>
      <w:pPr>
        <w:pStyle w:val="Normal"/>
        <w:bidi w:val="0"/>
        <w:jc w:val="start"/>
        <w:rPr>
          <w:rFonts w:ascii="Times New Roman" w:hAnsi="Times New Roman"/>
          <w:b w:val="false"/>
          <w:sz w:val="28"/>
        </w:rPr>
      </w:pPr>
      <w:r>
        <w:rPr>
          <w:rFonts w:ascii="Times New Roman" w:hAnsi="Times New Roman"/>
          <w:b/>
          <w:sz w:val="28"/>
        </w:rPr>
        <w:t>ARTICLE X â€” AMENDMENTS; MISCELLANEOUS</w:t>
      </w:r>
    </w:p>
    <w:p>
      <w:pPr>
        <w:pStyle w:val="Normal"/>
        <w:bidi w:val="0"/>
        <w:jc w:val="start"/>
        <w:rPr>
          <w:rFonts w:ascii="Times New Roman" w:hAnsi="Times New Roman"/>
          <w:b w:val="false"/>
          <w:sz w:val="28"/>
        </w:rPr>
      </w:pPr>
      <w:r>
        <w:rPr>
          <w:rFonts w:ascii="Times New Roman" w:hAnsi="Times New Roman"/>
          <w:b w:val="false"/>
          <w:sz w:val="28"/>
        </w:rPr>
        <w:t>Section 10.1 Amendments. This Agreement may be amended by the General Partner without the consent of the Limited Partners, including amendments affecting fees and withdrawal rights, upon 30 days notice.</w:t>
      </w:r>
    </w:p>
    <w:p>
      <w:pPr>
        <w:pStyle w:val="Normal"/>
        <w:bidi w:val="0"/>
        <w:jc w:val="start"/>
        <w:rPr>
          <w:rFonts w:ascii="Times New Roman" w:hAnsi="Times New Roman"/>
          <w:b w:val="false"/>
          <w:sz w:val="28"/>
        </w:rPr>
      </w:pPr>
      <w:r>
        <w:rPr>
          <w:rFonts w:ascii="Times New Roman" w:hAnsi="Times New Roman"/>
          <w:b w:val="false"/>
          <w:sz w:val="28"/>
        </w:rPr>
        <w:t>Section 10.2 Side Letters. The General Partner may enter into side letters with any investor granting preferential fees, liquidity, or transparency, and shall have no obligation to disclose or offer such terms to other investors.</w:t>
      </w:r>
    </w:p>
    <w:p>
      <w:pPr>
        <w:pStyle w:val="Normal"/>
        <w:bidi w:val="0"/>
        <w:jc w:val="start"/>
        <w:rPr>
          <w:rFonts w:ascii="Times New Roman" w:hAnsi="Times New Roman"/>
          <w:b w:val="false"/>
          <w:sz w:val="28"/>
        </w:rPr>
      </w:pPr>
      <w:r>
        <w:rPr>
          <w:rFonts w:ascii="Times New Roman" w:hAnsi="Times New Roman"/>
          <w:b w:val="false"/>
          <w:sz w:val="28"/>
        </w:rPr>
        <w:t>Section 10.3 Reports. The Fund shall furnish unaudited quarterly statements. Audited financial statements shall be provided within 180 days of fiscal year end, or such longer period as the General Partner determines.</w:t>
      </w:r>
    </w:p>
    <w:p>
      <w:pPr>
        <w:pStyle w:val="Normal"/>
        <w:bidi w:val="0"/>
        <w:jc w:val="start"/>
        <w:rPr>
          <w:rFonts w:ascii="Times New Roman" w:hAnsi="Times New Roman"/>
          <w:b w:val="false"/>
          <w:sz w:val="28"/>
        </w:rPr>
      </w:pPr>
      <w:r>
        <w:rPr>
          <w:rFonts w:ascii="Times New Roman" w:hAnsi="Times New Roman"/>
          <w:b w:val="false"/>
          <w:sz w:val="28"/>
        </w:rPr>
        <w:t>Section 10.4 Key Persons. [Intentionally omitted.]</w:t>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Liberation Sans">
    <w:altName w:val="Arial"/>
    <w:charset w:val="00" w:characterSet="iso-8859-1"/>
    <w:family w:val="swiss"/>
    <w:pitch w:val="variable"/>
  </w:font>
</w:fonts>
</file>

<file path=word/settings.xml><?xml version="1.0" encoding="utf-8"?>
<w:settings xmlns:w="http://schemas.openxmlformats.org/wordprocessingml/2006/main">
  <w:zoom w:percent="100"/>
  <w:defaultTabStop w:val="720"/>
  <w:autoHyphenation w:val="true"/>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WenQuanYi Zen Hei" w:cs="FreeSans"/>
        <w:kern w:val="2"/>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WenQuanYi Zen Hei" w:cs="Free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