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sz w:val="32"/>
        </w:rPr>
      </w:pPr>
      <w:r>
        <w:rPr>
          <w:rFonts w:ascii="Times New Roman" w:hAnsi="Times New Roman"/>
          <w:b/>
          <w:sz w:val="32"/>
        </w:rPr>
        <w:t>HALCYON RIDGE MACRO FUND LP</w:t>
      </w:r>
    </w:p>
    <w:p>
      <w:pPr>
        <w:pStyle w:val="Normal"/>
        <w:bidi w:val="0"/>
        <w:jc w:val="center"/>
        <w:rPr>
          <w:rFonts w:ascii="Times New Roman" w:hAnsi="Times New Roman"/>
          <w:b w:val="false"/>
          <w:sz w:val="28"/>
        </w:rPr>
      </w:pPr>
      <w:r>
        <w:rPr>
          <w:rFonts w:ascii="Times New Roman" w:hAnsi="Times New Roman"/>
          <w:b/>
          <w:sz w:val="32"/>
        </w:rPr>
        <w:t>SUBSCRIPTION AGREEMENT</w:t>
      </w:r>
    </w:p>
    <w:p>
      <w:pPr>
        <w:pStyle w:val="Normal"/>
        <w:bidi w:val="0"/>
        <w:jc w:val="center"/>
        <w:rPr>
          <w:rFonts w:ascii="Times New Roman" w:hAnsi="Times New Roman"/>
          <w:b w:val="false"/>
          <w:sz w:val="28"/>
        </w:rPr>
      </w:pPr>
      <w:r>
        <w:rPr>
          <w:rFonts w:ascii="Times New Roman" w:hAnsi="Times New Roman"/>
          <w:b w:val="false"/>
          <w:sz w:val="28"/>
        </w:rPr>
      </w:r>
    </w:p>
    <w:p>
      <w:pPr>
        <w:pStyle w:val="Normal"/>
        <w:bidi w:val="0"/>
        <w:jc w:val="start"/>
        <w:rPr>
          <w:rFonts w:ascii="Times New Roman" w:hAnsi="Times New Roman"/>
          <w:sz w:val="28"/>
        </w:rPr>
      </w:pPr>
      <w:r>
        <w:rPr>
          <w:rFonts w:ascii="Times New Roman" w:hAnsi="Times New Roman"/>
          <w:sz w:val="28"/>
        </w:rPr>
        <w:t>1. Subscription. The undersigned subscribes for limited partnership interests in the amount set forth on the signature page, payable in full by wire not later than three business days prior to the applicable subscription date.</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sz w:val="28"/>
        </w:rPr>
      </w:pPr>
      <w:r>
        <w:rPr>
          <w:rFonts w:ascii="Times New Roman" w:hAnsi="Times New Roman"/>
          <w:sz w:val="28"/>
        </w:rPr>
        <w:t>2. Representations. The subscriber represents that it is an accredited investor and qualified purchaser; that it has received and read the Memorandum; and that it irrevocably waives, to the fullest extent permitted by law, any claim arising from information delivered orally by placement agents.</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sz w:val="28"/>
        </w:rPr>
      </w:pPr>
      <w:r>
        <w:rPr>
          <w:rFonts w:ascii="Times New Roman" w:hAnsi="Times New Roman"/>
          <w:sz w:val="28"/>
        </w:rPr>
        <w:t>3. Indemnity. The subscriber shall indemnify the Fund, the General Partner and their agents against any losses arising out of the subscriber's breach of this Agreement or any inaccuracy in the information provided, including consequential damages.</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sz w:val="28"/>
        </w:rPr>
      </w:pPr>
      <w:r>
        <w:rPr>
          <w:rFonts w:ascii="Times New Roman" w:hAnsi="Times New Roman"/>
          <w:sz w:val="28"/>
        </w:rPr>
        <w:t>4. Power of Attorney. The subscriber irrevocably appoints the General Partner as its attorney-in-fact, with full power of substitution, to execute any documents on its behalf that the General Partner determines to be necessary or convenient in connection with the Fund, including amendments to the Partnership Agreement.</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sz w:val="28"/>
        </w:rPr>
      </w:pPr>
      <w:r>
        <w:rPr>
          <w:rFonts w:ascii="Times New Roman" w:hAnsi="Times New Roman"/>
          <w:sz w:val="28"/>
        </w:rPr>
        <w:t>5. Transfers. No transfer of any interest may be made without the prior written consent of the General Partner, which may be withheld for any reason or no reason.</w:t>
      </w:r>
    </w:p>
    <w:p>
      <w:pPr>
        <w:pStyle w:val="Normal"/>
        <w:bidi w:val="0"/>
        <w:jc w:val="start"/>
        <w:rPr>
          <w:rFonts w:ascii="Times New Roman" w:hAnsi="Times New Roman"/>
          <w:sz w:val="28"/>
        </w:rPr>
      </w:pPr>
      <w:r>
        <w:rPr>
          <w:rFonts w:ascii="Times New Roman" w:hAnsi="Times New Roman"/>
          <w:sz w:val="28"/>
        </w:rPr>
      </w:r>
    </w:p>
    <w:p>
      <w:pPr>
        <w:pStyle w:val="Normal"/>
        <w:bidi w:val="0"/>
        <w:jc w:val="start"/>
        <w:rPr>
          <w:rFonts w:ascii="Times New Roman" w:hAnsi="Times New Roman"/>
          <w:sz w:val="28"/>
        </w:rPr>
      </w:pPr>
      <w:r>
        <w:rPr>
          <w:rFonts w:ascii="Times New Roman" w:hAnsi="Times New Roman"/>
          <w:sz w:val="28"/>
        </w:rPr>
        <w:t>6. AML / FATCA. The subscriber shall provide such information as the Fund requires under applicable anti-money laundering, FATCA and CRS regimes.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