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LAUNCH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Business-as-Usual Handover Checklist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Confirm that operational ownership, knowledge, monitoring and open risks have transferred from launch into ongoing marketplace operations.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Complete after hypercare exit criteria are satisfied. Keep unresolved items visible with an owner and review date rather than treating handover as a clean break.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Marketplace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Hypercare end date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BAU owner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Handover meeting date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Operational ownership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Marketplace Operations owner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Seller support and performance owners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Customer Service procedures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Catalogue governance owner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Finance reconciliation and payout owner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Technology monitoring and incident owner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Backup coverage documented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Knowledge and access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Runbooks and procedures stored in the approved location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Required Production permissions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Support request process understood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Current Seller and escalation contacts confirmed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Training Capability Register updated</w:t>
      </w:r>
    </w:p>
    <w:p>
      <w:pPr>
        <w:spacing w:after="80"/>
        <w:ind w:left="259" w:hanging="173"/>
      </w:pPr>
      <w:r>
        <w:rPr>
          <w:rFonts w:ascii="Arial" w:hAnsi="Arial"/>
          <w:color w:val="1D182F"/>
          <w:sz w:val="19"/>
        </w:rPr>
        <w:t>☐ Known workarounds and limitations documented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Open items and risks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Review cadence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Handover approval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Accepted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Operations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Management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Service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Technology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leadership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