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7848"/>
            <w:shd w:fill="1D182F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r>
              <w:rPr>
                <w:rFonts w:ascii="Arial" w:hAnsi="Arial"/>
                <w:b/>
                <w:color w:val="00CFB4"/>
                <w:sz w:val="16"/>
              </w:rPr>
              <w:t>OPERATOR RESOURCE</w:t>
            </w:r>
          </w:p>
          <w:p>
            <w:pPr>
              <w:spacing w:before="80"/>
            </w:pPr>
            <w:r>
              <w:rPr>
                <w:rFonts w:ascii="Arial" w:hAnsi="Arial"/>
                <w:b/>
                <w:color w:val="FFFFFF"/>
                <w:sz w:val="42"/>
              </w:rPr>
              <w:t>Seller Strategy Worksheet</w:t>
            </w:r>
          </w:p>
          <w:p>
            <w:pPr>
              <w:spacing w:before="80"/>
            </w:pPr>
            <w:r>
              <w:rPr>
                <w:rFonts w:ascii="Arial" w:hAnsi="Arial"/>
                <w:color w:val="FFFFFF"/>
                <w:sz w:val="19"/>
              </w:rPr>
              <w:t>Define the Seller proposition, launch group, commercial model and onboarding approach.</w:t>
            </w:r>
          </w:p>
        </w:tc>
        <w:tc>
          <w:tcPr>
            <w:tcW w:type="dxa" w:w="1728"/>
            <w:shd w:fill="00CFB4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D182F"/>
                <w:sz w:val="40"/>
              </w:rPr>
              <w:t>MP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Marketplace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Owner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Version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Last updated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B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/>
                <w:b/>
                <w:color w:val="1D182F"/>
                <w:sz w:val="19"/>
              </w:rPr>
              <w:t xml:space="preserve">How to use this template. </w:t>
            </w:r>
            <w:r>
              <w:rPr>
                <w:rFonts w:ascii="Arial" w:hAnsi="Arial"/>
                <w:color w:val="1D182F"/>
                <w:sz w:val="19"/>
              </w:rPr>
              <w:t>Complete this worksheet with marketplace leadership, Commercial, Seller Management, Operations, Finance and Technology. Use it to establish an approved Seller strategy before recruitment and onboarding scale up.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1. Marketplace Seller proposition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128"/>
      </w:tblGrid>
      <w:tr>
        <w:tc>
          <w:tcPr>
            <w:tcW w:type="dxa" w:w="5112"/>
            <w:shd w:fill="F5F4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1D182F"/>
                <w:sz w:val="18"/>
              </w:rPr>
              <w:t>Marketplace proposition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F5A6E"/>
                <w:sz w:val="18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128"/>
      </w:tblGrid>
      <w:tr>
        <w:tc>
          <w:tcPr>
            <w:tcW w:type="dxa" w:w="5112"/>
            <w:shd w:fill="F5F4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1D182F"/>
                <w:sz w:val="18"/>
              </w:rPr>
              <w:t>Value for Sellers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F5A6E"/>
                <w:sz w:val="18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128"/>
      </w:tblGrid>
      <w:tr>
        <w:tc>
          <w:tcPr>
            <w:tcW w:type="dxa" w:w="5112"/>
            <w:shd w:fill="F5F4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1D182F"/>
                <w:sz w:val="18"/>
              </w:rPr>
              <w:t>Value for customers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F5A6E"/>
                <w:sz w:val="18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128"/>
      </w:tblGrid>
      <w:tr>
        <w:tc>
          <w:tcPr>
            <w:tcW w:type="dxa" w:w="5112"/>
            <w:shd w:fill="F5F4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1D182F"/>
                <w:sz w:val="18"/>
              </w:rPr>
              <w:t>Priority categories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F5A6E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2. Ideal Seller profile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3408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Target position</w:t>
            </w:r>
          </w:p>
        </w:tc>
        <w:tc>
          <w:tcPr>
            <w:tcW w:type="dxa" w:w="3408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Evidence or qualification method</w:t>
            </w:r>
          </w:p>
        </w:tc>
      </w:tr>
      <w:tr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Assortment fit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Brand or quality fit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Operational capability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Technology capability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Commercial fit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Geographic coverage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Compliance readiness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3. Launch and post-launch targets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Seller target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Product or category target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Target date</w:t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Pilot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Launch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First 90 days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Ongoing growth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4. Commercial and connection models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704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Seller or cohort</w:t>
            </w:r>
          </w:p>
        </w:tc>
        <w:tc>
          <w:tcPr>
            <w:tcW w:type="dxa" w:w="1704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Commission or wholesale</w:t>
            </w:r>
          </w:p>
        </w:tc>
        <w:tc>
          <w:tcPr>
            <w:tcW w:type="dxa" w:w="1704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Connection method</w:t>
            </w:r>
          </w:p>
        </w:tc>
        <w:tc>
          <w:tcPr>
            <w:tcW w:type="dxa" w:w="1704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Product source</w:t>
            </w:r>
          </w:p>
        </w:tc>
        <w:tc>
          <w:tcPr>
            <w:tcW w:type="dxa" w:w="1704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Order route</w:t>
            </w:r>
          </w:p>
        </w:tc>
        <w:tc>
          <w:tcPr>
            <w:tcW w:type="dxa" w:w="1704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Fulfilment return</w:t>
            </w:r>
          </w:p>
        </w:tc>
      </w:tr>
      <w:tr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5. Onboarding and support model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Seller recruitment owner and handoff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Agreement and information collection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Account creation and default settings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Product onboarding assistance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Training and competency expectations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Testing and Seller Launch Approval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Hypercare and business-as-usual support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Performance review and corrective action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6. Risks and decisions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Risk or decision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Mitigation or working position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Required by</w:t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5A6E"/>
        <w:sz w:val="15"/>
      </w:rPr>
      <w:t>Marketplacer Operator Onboarding Hub | Adapt this template to your approved marketplace operating model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D18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